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BBA7" w14:textId="59E761F5" w:rsidR="00983B7D" w:rsidRDefault="00822AB3" w:rsidP="00822AB3">
      <w:pPr>
        <w:pStyle w:val="Title"/>
      </w:pPr>
      <w:r>
        <w:t>Adult Learner</w:t>
      </w:r>
      <w:r w:rsidR="00157793">
        <w:t>/Inclusive Teaching Crosswalk</w:t>
      </w:r>
    </w:p>
    <w:p w14:paraId="0BC3F944" w14:textId="399DC3B6" w:rsidR="00822AB3" w:rsidRPr="00822AB3" w:rsidRDefault="00822AB3" w:rsidP="00822AB3">
      <w:r>
        <w:t>To fill in this worksheet, list in each of the columns below the ways in which your newly designed or re-designed course meets</w:t>
      </w:r>
      <w:r w:rsidR="009A4E26">
        <w:t xml:space="preserve"> (or could meet)</w:t>
      </w:r>
      <w:r>
        <w:t xml:space="preserve"> the needs of adult learners according to the 5 characteristics listed</w:t>
      </w:r>
      <w:r w:rsidR="009A4E26">
        <w:t xml:space="preserve"> across the top</w:t>
      </w:r>
      <w:r>
        <w:t xml:space="preserve">. </w:t>
      </w:r>
      <w:r w:rsidR="00CB2D3F">
        <w:t xml:space="preserve">Cross reference that with </w:t>
      </w:r>
      <w:r w:rsidR="008413CB">
        <w:t xml:space="preserve">elements of inclusivity </w:t>
      </w:r>
      <w:r w:rsidR="009A4E26">
        <w:t>down</w:t>
      </w:r>
      <w:r w:rsidR="008413CB">
        <w:t xml:space="preserve"> the </w:t>
      </w:r>
      <w:r w:rsidR="009A4E26">
        <w:t>left</w:t>
      </w:r>
      <w:r w:rsidR="008413CB">
        <w:t xml:space="preserve">. </w:t>
      </w:r>
      <w:r>
        <w:t xml:space="preserve">Refer to the definitions of each characteristic below the table and use the Adult Learner Design Job Aid to help you.  </w:t>
      </w:r>
    </w:p>
    <w:tbl>
      <w:tblPr>
        <w:tblStyle w:val="TableGrid"/>
        <w:tblpPr w:leftFromText="180" w:rightFromText="180" w:vertAnchor="page" w:horzAnchor="margin" w:tblpY="2939"/>
        <w:tblW w:w="0" w:type="auto"/>
        <w:tblLayout w:type="fixed"/>
        <w:tblLook w:val="04A0" w:firstRow="1" w:lastRow="0" w:firstColumn="1" w:lastColumn="0" w:noHBand="0" w:noVBand="1"/>
      </w:tblPr>
      <w:tblGrid>
        <w:gridCol w:w="1615"/>
        <w:gridCol w:w="1577"/>
        <w:gridCol w:w="1577"/>
        <w:gridCol w:w="1577"/>
        <w:gridCol w:w="1577"/>
        <w:gridCol w:w="1577"/>
      </w:tblGrid>
      <w:tr w:rsidR="009A30BD" w:rsidRPr="00F63896" w14:paraId="07527679" w14:textId="77777777" w:rsidTr="008B1D4F">
        <w:trPr>
          <w:trHeight w:val="293"/>
        </w:trPr>
        <w:tc>
          <w:tcPr>
            <w:tcW w:w="1615" w:type="dxa"/>
            <w:shd w:val="clear" w:color="auto" w:fill="E2EFD9" w:themeFill="accent6" w:themeFillTint="33"/>
            <w:noWrap/>
          </w:tcPr>
          <w:p w14:paraId="653700AE" w14:textId="77777777" w:rsidR="009A30BD" w:rsidRDefault="009A30BD" w:rsidP="001A5AC3">
            <w:pPr>
              <w:rPr>
                <w:b/>
                <w:bCs/>
              </w:rPr>
            </w:pPr>
            <w:r>
              <w:rPr>
                <w:b/>
                <w:bCs/>
              </w:rPr>
              <w:t>Adult Learner Characteristics</w:t>
            </w:r>
          </w:p>
          <w:p w14:paraId="230A141C" w14:textId="7F1C1E8A" w:rsidR="009A30BD" w:rsidRDefault="009A30BD" w:rsidP="001A5AC3">
            <w:pPr>
              <w:rPr>
                <w:b/>
                <w:bCs/>
                <w:noProof/>
              </w:rPr>
            </w:pPr>
            <w:r>
              <w:rPr>
                <w:b/>
                <w:bCs/>
                <w:noProof/>
              </w:rPr>
              <mc:AlternateContent>
                <mc:Choice Requires="wps">
                  <w:drawing>
                    <wp:anchor distT="0" distB="0" distL="114300" distR="114300" simplePos="0" relativeHeight="251678720" behindDoc="0" locked="0" layoutInCell="1" allowOverlap="1" wp14:anchorId="7730570D" wp14:editId="4DC6D106">
                      <wp:simplePos x="0" y="0"/>
                      <wp:positionH relativeFrom="column">
                        <wp:posOffset>3810</wp:posOffset>
                      </wp:positionH>
                      <wp:positionV relativeFrom="paragraph">
                        <wp:posOffset>97255</wp:posOffset>
                      </wp:positionV>
                      <wp:extent cx="738787" cy="0"/>
                      <wp:effectExtent l="0" t="76200" r="23495" b="95250"/>
                      <wp:wrapNone/>
                      <wp:docPr id="1" name="Straight Arrow Connector 1"/>
                      <wp:cNvGraphicFramePr/>
                      <a:graphic xmlns:a="http://schemas.openxmlformats.org/drawingml/2006/main">
                        <a:graphicData uri="http://schemas.microsoft.com/office/word/2010/wordprocessingShape">
                          <wps:wsp>
                            <wps:cNvCnPr/>
                            <wps:spPr>
                              <a:xfrm>
                                <a:off x="0" y="0"/>
                                <a:ext cx="7387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8B0208" id="_x0000_t32" coordsize="21600,21600" o:spt="32" o:oned="t" path="m,l21600,21600e" filled="f">
                      <v:path arrowok="t" fillok="f" o:connecttype="none"/>
                      <o:lock v:ext="edit" shapetype="t"/>
                    </v:shapetype>
                    <v:shape id="Straight Arrow Connector 1" o:spid="_x0000_s1026" type="#_x0000_t32" style="position:absolute;margin-left:.3pt;margin-top:7.65pt;width:58.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" strokecolor="black [3213]" strokeweight=".5pt">
                      <v:stroke endarrow="block" joinstyle="miter"/>
                    </v:shape>
                  </w:pict>
                </mc:Fallback>
              </mc:AlternateContent>
            </w:r>
          </w:p>
        </w:tc>
        <w:tc>
          <w:tcPr>
            <w:tcW w:w="1577" w:type="dxa"/>
            <w:shd w:val="clear" w:color="auto" w:fill="E2EFD9" w:themeFill="accent6" w:themeFillTint="33"/>
            <w:noWrap/>
            <w:vAlign w:val="center"/>
          </w:tcPr>
          <w:p w14:paraId="566403E4" w14:textId="7D08EBB6" w:rsidR="009A30BD" w:rsidRPr="00F63896" w:rsidRDefault="009A30BD" w:rsidP="009A30BD">
            <w:pPr>
              <w:jc w:val="center"/>
              <w:rPr>
                <w:b/>
                <w:bCs/>
              </w:rPr>
            </w:pPr>
            <w:r w:rsidRPr="00F63896">
              <w:rPr>
                <w:b/>
                <w:bCs/>
              </w:rPr>
              <w:t>Learner Motivation</w:t>
            </w:r>
          </w:p>
        </w:tc>
        <w:tc>
          <w:tcPr>
            <w:tcW w:w="1577" w:type="dxa"/>
            <w:shd w:val="clear" w:color="auto" w:fill="E2EFD9" w:themeFill="accent6" w:themeFillTint="33"/>
            <w:noWrap/>
            <w:vAlign w:val="center"/>
          </w:tcPr>
          <w:p w14:paraId="55F63105" w14:textId="52633B5D" w:rsidR="009A30BD" w:rsidRPr="00F63896" w:rsidRDefault="009A30BD" w:rsidP="009A30BD">
            <w:pPr>
              <w:jc w:val="center"/>
              <w:rPr>
                <w:b/>
                <w:bCs/>
              </w:rPr>
            </w:pPr>
            <w:r w:rsidRPr="00F63896">
              <w:rPr>
                <w:b/>
                <w:bCs/>
              </w:rPr>
              <w:t>Learner Orientation</w:t>
            </w:r>
          </w:p>
        </w:tc>
        <w:tc>
          <w:tcPr>
            <w:tcW w:w="1577" w:type="dxa"/>
            <w:shd w:val="clear" w:color="auto" w:fill="E2EFD9" w:themeFill="accent6" w:themeFillTint="33"/>
            <w:noWrap/>
            <w:vAlign w:val="center"/>
          </w:tcPr>
          <w:p w14:paraId="60C37BEF" w14:textId="02811A91" w:rsidR="009A30BD" w:rsidRPr="00F63896" w:rsidRDefault="009A30BD" w:rsidP="009A30BD">
            <w:pPr>
              <w:jc w:val="center"/>
              <w:rPr>
                <w:b/>
                <w:bCs/>
              </w:rPr>
            </w:pPr>
            <w:r w:rsidRPr="00F63896">
              <w:rPr>
                <w:b/>
                <w:bCs/>
              </w:rPr>
              <w:t>Learner Experience</w:t>
            </w:r>
          </w:p>
        </w:tc>
        <w:tc>
          <w:tcPr>
            <w:tcW w:w="1577" w:type="dxa"/>
            <w:shd w:val="clear" w:color="auto" w:fill="E2EFD9" w:themeFill="accent6" w:themeFillTint="33"/>
            <w:noWrap/>
            <w:vAlign w:val="center"/>
          </w:tcPr>
          <w:p w14:paraId="467667F9" w14:textId="58ACF6A7" w:rsidR="009A30BD" w:rsidRPr="00F63896" w:rsidRDefault="009A30BD" w:rsidP="009A30BD">
            <w:pPr>
              <w:jc w:val="center"/>
              <w:rPr>
                <w:b/>
                <w:bCs/>
              </w:rPr>
            </w:pPr>
            <w:r w:rsidRPr="00F63896">
              <w:rPr>
                <w:b/>
                <w:bCs/>
              </w:rPr>
              <w:t>Learner Self-Concept</w:t>
            </w:r>
          </w:p>
        </w:tc>
        <w:tc>
          <w:tcPr>
            <w:tcW w:w="1577" w:type="dxa"/>
            <w:shd w:val="clear" w:color="auto" w:fill="E2EFD9" w:themeFill="accent6" w:themeFillTint="33"/>
            <w:noWrap/>
            <w:vAlign w:val="center"/>
          </w:tcPr>
          <w:p w14:paraId="477FA7BA" w14:textId="58EA7177" w:rsidR="009A30BD" w:rsidRPr="00F63896" w:rsidRDefault="009A30BD" w:rsidP="009A30BD">
            <w:pPr>
              <w:jc w:val="center"/>
              <w:rPr>
                <w:b/>
                <w:bCs/>
              </w:rPr>
            </w:pPr>
            <w:r w:rsidRPr="00F63896">
              <w:rPr>
                <w:b/>
                <w:bCs/>
              </w:rPr>
              <w:t>Lea</w:t>
            </w:r>
            <w:r>
              <w:rPr>
                <w:b/>
                <w:bCs/>
              </w:rPr>
              <w:t>r</w:t>
            </w:r>
            <w:r w:rsidRPr="00F63896">
              <w:rPr>
                <w:b/>
                <w:bCs/>
              </w:rPr>
              <w:t>ner Readiness to Learn</w:t>
            </w:r>
          </w:p>
        </w:tc>
      </w:tr>
      <w:tr w:rsidR="007F17AC" w:rsidRPr="00F63896" w14:paraId="495D64F1" w14:textId="77777777" w:rsidTr="007F17AC">
        <w:trPr>
          <w:trHeight w:val="698"/>
        </w:trPr>
        <w:tc>
          <w:tcPr>
            <w:tcW w:w="1615" w:type="dxa"/>
            <w:shd w:val="clear" w:color="auto" w:fill="DEEAF6" w:themeFill="accent1" w:themeFillTint="33"/>
            <w:noWrap/>
            <w:hideMark/>
          </w:tcPr>
          <w:p w14:paraId="5FF78456" w14:textId="029F7023" w:rsidR="007F17AC" w:rsidRPr="00F63896" w:rsidRDefault="007F17AC" w:rsidP="001A5AC3">
            <w:pPr>
              <w:rPr>
                <w:b/>
                <w:bCs/>
              </w:rPr>
            </w:pPr>
            <w:r>
              <w:rPr>
                <w:b/>
                <w:bCs/>
                <w:noProof/>
              </w:rPr>
              <mc:AlternateContent>
                <mc:Choice Requires="wps">
                  <w:drawing>
                    <wp:anchor distT="0" distB="0" distL="114300" distR="114300" simplePos="0" relativeHeight="251681792" behindDoc="0" locked="0" layoutInCell="1" allowOverlap="1" wp14:anchorId="20278E99" wp14:editId="6BBE4F23">
                      <wp:simplePos x="0" y="0"/>
                      <wp:positionH relativeFrom="column">
                        <wp:posOffset>393065</wp:posOffset>
                      </wp:positionH>
                      <wp:positionV relativeFrom="paragraph">
                        <wp:posOffset>242276</wp:posOffset>
                      </wp:positionV>
                      <wp:extent cx="365760" cy="0"/>
                      <wp:effectExtent l="49530" t="7620" r="102870" b="45720"/>
                      <wp:wrapNone/>
                      <wp:docPr id="3" name="Straight Arrow Connector 3"/>
                      <wp:cNvGraphicFramePr/>
                      <a:graphic xmlns:a="http://schemas.openxmlformats.org/drawingml/2006/main">
                        <a:graphicData uri="http://schemas.microsoft.com/office/word/2010/wordprocessingShape">
                          <wps:wsp>
                            <wps:cNvCnPr/>
                            <wps:spPr>
                              <a:xfrm rot="5400000">
                                <a:off x="0" y="0"/>
                                <a:ext cx="3657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9986AD" id="Straight Arrow Connector 3" o:spid="_x0000_s1026" type="#_x0000_t32" style="position:absolute;margin-left:30.95pt;margin-top:19.1pt;width:28.8pt;height:0;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" strokecolor="black [3213]" strokeweight=".5pt">
                      <v:stroke endarrow="block" joinstyle="miter"/>
                    </v:shape>
                  </w:pict>
                </mc:Fallback>
              </mc:AlternateContent>
            </w:r>
            <w:r>
              <w:rPr>
                <w:b/>
                <w:bCs/>
              </w:rPr>
              <w:t>Inclusive Teaching</w:t>
            </w:r>
          </w:p>
        </w:tc>
        <w:tc>
          <w:tcPr>
            <w:tcW w:w="7885" w:type="dxa"/>
            <w:gridSpan w:val="5"/>
            <w:shd w:val="clear" w:color="auto" w:fill="FFFFFF" w:themeFill="background1"/>
            <w:noWrap/>
            <w:hideMark/>
          </w:tcPr>
          <w:p w14:paraId="748264AE" w14:textId="238036AD" w:rsidR="007F17AC" w:rsidRPr="00F63896" w:rsidRDefault="007F17AC" w:rsidP="001A5AC3">
            <w:pPr>
              <w:rPr>
                <w:b/>
                <w:bCs/>
              </w:rPr>
            </w:pPr>
          </w:p>
        </w:tc>
      </w:tr>
      <w:tr w:rsidR="009A30BD" w:rsidRPr="00F63896" w14:paraId="1D09F89C" w14:textId="77777777" w:rsidTr="007F17AC">
        <w:trPr>
          <w:trHeight w:val="1425"/>
        </w:trPr>
        <w:tc>
          <w:tcPr>
            <w:tcW w:w="1615" w:type="dxa"/>
            <w:shd w:val="clear" w:color="auto" w:fill="DEEAF6" w:themeFill="accent1" w:themeFillTint="33"/>
            <w:noWrap/>
          </w:tcPr>
          <w:p w14:paraId="1EF64399" w14:textId="012031BA" w:rsidR="009A30BD" w:rsidRPr="00F63896" w:rsidRDefault="009A30BD" w:rsidP="001A5AC3">
            <w:r w:rsidRPr="000859AA">
              <w:rPr>
                <w:sz w:val="18"/>
                <w:szCs w:val="18"/>
              </w:rPr>
              <w:t>Community</w:t>
            </w:r>
          </w:p>
        </w:tc>
        <w:tc>
          <w:tcPr>
            <w:tcW w:w="1577" w:type="dxa"/>
          </w:tcPr>
          <w:p w14:paraId="61DF8DC2" w14:textId="77777777" w:rsidR="009A30BD" w:rsidRPr="00F63896" w:rsidRDefault="009A30BD" w:rsidP="001A5AC3">
            <w:pPr>
              <w:spacing w:after="120"/>
            </w:pPr>
          </w:p>
        </w:tc>
        <w:tc>
          <w:tcPr>
            <w:tcW w:w="1577" w:type="dxa"/>
          </w:tcPr>
          <w:p w14:paraId="584E3F77" w14:textId="77777777" w:rsidR="009A30BD" w:rsidRPr="00F63896" w:rsidRDefault="009A30BD" w:rsidP="001A5AC3">
            <w:pPr>
              <w:spacing w:after="120"/>
            </w:pPr>
          </w:p>
        </w:tc>
        <w:tc>
          <w:tcPr>
            <w:tcW w:w="1577" w:type="dxa"/>
          </w:tcPr>
          <w:p w14:paraId="4CE598F6" w14:textId="77777777" w:rsidR="009A30BD" w:rsidRPr="00F63896" w:rsidRDefault="009A30BD" w:rsidP="001A5AC3">
            <w:pPr>
              <w:spacing w:after="120"/>
            </w:pPr>
          </w:p>
        </w:tc>
        <w:tc>
          <w:tcPr>
            <w:tcW w:w="1577" w:type="dxa"/>
          </w:tcPr>
          <w:p w14:paraId="1F2A0251" w14:textId="77777777" w:rsidR="009A30BD" w:rsidRPr="00F63896" w:rsidRDefault="009A30BD" w:rsidP="001A5AC3">
            <w:pPr>
              <w:spacing w:after="120"/>
            </w:pPr>
          </w:p>
        </w:tc>
        <w:tc>
          <w:tcPr>
            <w:tcW w:w="1577" w:type="dxa"/>
          </w:tcPr>
          <w:p w14:paraId="29A794F3" w14:textId="125C9B1C" w:rsidR="009A30BD" w:rsidRPr="00F63896" w:rsidRDefault="009A30BD" w:rsidP="001A5AC3">
            <w:pPr>
              <w:spacing w:after="120"/>
            </w:pPr>
          </w:p>
        </w:tc>
      </w:tr>
      <w:tr w:rsidR="009A30BD" w:rsidRPr="00F63896" w14:paraId="5E0DDE16" w14:textId="77777777" w:rsidTr="007F17AC">
        <w:trPr>
          <w:trHeight w:val="1425"/>
        </w:trPr>
        <w:tc>
          <w:tcPr>
            <w:tcW w:w="1615" w:type="dxa"/>
            <w:shd w:val="clear" w:color="auto" w:fill="DEEAF6" w:themeFill="accent1" w:themeFillTint="33"/>
            <w:noWrap/>
          </w:tcPr>
          <w:p w14:paraId="7DD54FC7" w14:textId="7B555E2E" w:rsidR="009A30BD" w:rsidRPr="000859AA" w:rsidRDefault="009A30BD" w:rsidP="001A5AC3">
            <w:pPr>
              <w:rPr>
                <w:sz w:val="18"/>
                <w:szCs w:val="18"/>
              </w:rPr>
            </w:pPr>
            <w:r>
              <w:rPr>
                <w:sz w:val="18"/>
                <w:szCs w:val="18"/>
              </w:rPr>
              <w:t>Expectations</w:t>
            </w:r>
          </w:p>
        </w:tc>
        <w:tc>
          <w:tcPr>
            <w:tcW w:w="1577" w:type="dxa"/>
          </w:tcPr>
          <w:p w14:paraId="0DD06914" w14:textId="77777777" w:rsidR="009A30BD" w:rsidRPr="00F63896" w:rsidRDefault="009A30BD" w:rsidP="001A5AC3">
            <w:pPr>
              <w:spacing w:after="120"/>
            </w:pPr>
          </w:p>
        </w:tc>
        <w:tc>
          <w:tcPr>
            <w:tcW w:w="1577" w:type="dxa"/>
          </w:tcPr>
          <w:p w14:paraId="0F5BCB02" w14:textId="77777777" w:rsidR="009A30BD" w:rsidRPr="00F63896" w:rsidRDefault="009A30BD" w:rsidP="001A5AC3">
            <w:pPr>
              <w:spacing w:after="120"/>
            </w:pPr>
          </w:p>
        </w:tc>
        <w:tc>
          <w:tcPr>
            <w:tcW w:w="1577" w:type="dxa"/>
          </w:tcPr>
          <w:p w14:paraId="4F87BBAE" w14:textId="77777777" w:rsidR="009A30BD" w:rsidRPr="00F63896" w:rsidRDefault="009A30BD" w:rsidP="001A5AC3">
            <w:pPr>
              <w:spacing w:after="120"/>
            </w:pPr>
          </w:p>
        </w:tc>
        <w:tc>
          <w:tcPr>
            <w:tcW w:w="1577" w:type="dxa"/>
          </w:tcPr>
          <w:p w14:paraId="2537E5A5" w14:textId="77777777" w:rsidR="009A30BD" w:rsidRPr="00F63896" w:rsidRDefault="009A30BD" w:rsidP="001A5AC3">
            <w:pPr>
              <w:spacing w:after="120"/>
            </w:pPr>
          </w:p>
        </w:tc>
        <w:tc>
          <w:tcPr>
            <w:tcW w:w="1577" w:type="dxa"/>
          </w:tcPr>
          <w:p w14:paraId="6C719FD7" w14:textId="77777777" w:rsidR="009A30BD" w:rsidRPr="00F63896" w:rsidRDefault="009A30BD" w:rsidP="001A5AC3">
            <w:pPr>
              <w:spacing w:after="120"/>
            </w:pPr>
          </w:p>
        </w:tc>
      </w:tr>
      <w:tr w:rsidR="009A30BD" w:rsidRPr="00F63896" w14:paraId="5AE67CF7" w14:textId="77777777" w:rsidTr="007F17AC">
        <w:trPr>
          <w:trHeight w:val="1425"/>
        </w:trPr>
        <w:tc>
          <w:tcPr>
            <w:tcW w:w="1615" w:type="dxa"/>
            <w:shd w:val="clear" w:color="auto" w:fill="DEEAF6" w:themeFill="accent1" w:themeFillTint="33"/>
            <w:noWrap/>
          </w:tcPr>
          <w:p w14:paraId="3DAE9EC5" w14:textId="77777777" w:rsidR="009A30BD" w:rsidRDefault="009A30BD" w:rsidP="001A5AC3">
            <w:pPr>
              <w:rPr>
                <w:sz w:val="18"/>
                <w:szCs w:val="18"/>
              </w:rPr>
            </w:pPr>
            <w:r>
              <w:rPr>
                <w:sz w:val="18"/>
                <w:szCs w:val="18"/>
              </w:rPr>
              <w:t>Student</w:t>
            </w:r>
          </w:p>
          <w:p w14:paraId="73B2C35C" w14:textId="35034410" w:rsidR="009A30BD" w:rsidRDefault="009A30BD" w:rsidP="001A5AC3">
            <w:pPr>
              <w:rPr>
                <w:sz w:val="18"/>
                <w:szCs w:val="18"/>
              </w:rPr>
            </w:pPr>
            <w:r>
              <w:rPr>
                <w:sz w:val="18"/>
                <w:szCs w:val="18"/>
              </w:rPr>
              <w:t>Experience</w:t>
            </w:r>
          </w:p>
        </w:tc>
        <w:tc>
          <w:tcPr>
            <w:tcW w:w="1577" w:type="dxa"/>
          </w:tcPr>
          <w:p w14:paraId="3C66C788" w14:textId="77777777" w:rsidR="009A30BD" w:rsidRPr="00F63896" w:rsidRDefault="009A30BD" w:rsidP="001A5AC3">
            <w:pPr>
              <w:spacing w:after="120"/>
            </w:pPr>
          </w:p>
        </w:tc>
        <w:tc>
          <w:tcPr>
            <w:tcW w:w="1577" w:type="dxa"/>
          </w:tcPr>
          <w:p w14:paraId="4E0170E4" w14:textId="77777777" w:rsidR="009A30BD" w:rsidRPr="00F63896" w:rsidRDefault="009A30BD" w:rsidP="001A5AC3">
            <w:pPr>
              <w:spacing w:after="120"/>
            </w:pPr>
          </w:p>
        </w:tc>
        <w:tc>
          <w:tcPr>
            <w:tcW w:w="1577" w:type="dxa"/>
          </w:tcPr>
          <w:p w14:paraId="2854B56B" w14:textId="77777777" w:rsidR="009A30BD" w:rsidRPr="00F63896" w:rsidRDefault="009A30BD" w:rsidP="001A5AC3">
            <w:pPr>
              <w:spacing w:after="120"/>
            </w:pPr>
          </w:p>
        </w:tc>
        <w:tc>
          <w:tcPr>
            <w:tcW w:w="1577" w:type="dxa"/>
          </w:tcPr>
          <w:p w14:paraId="54C09480" w14:textId="77777777" w:rsidR="009A30BD" w:rsidRPr="00F63896" w:rsidRDefault="009A30BD" w:rsidP="001A5AC3">
            <w:pPr>
              <w:spacing w:after="120"/>
            </w:pPr>
          </w:p>
        </w:tc>
        <w:tc>
          <w:tcPr>
            <w:tcW w:w="1577" w:type="dxa"/>
          </w:tcPr>
          <w:p w14:paraId="7B0DC90A" w14:textId="77777777" w:rsidR="009A30BD" w:rsidRPr="00F63896" w:rsidRDefault="009A30BD" w:rsidP="001A5AC3">
            <w:pPr>
              <w:spacing w:after="120"/>
            </w:pPr>
          </w:p>
        </w:tc>
      </w:tr>
    </w:tbl>
    <w:p w14:paraId="3034F277" w14:textId="77777777" w:rsidR="009A30BD" w:rsidRDefault="009A30BD" w:rsidP="001A5AC3">
      <w:pPr>
        <w:spacing w:before="480"/>
        <w:rPr>
          <w:b/>
        </w:rPr>
      </w:pPr>
    </w:p>
    <w:p w14:paraId="00FDDE21" w14:textId="77777777" w:rsidR="009A30BD" w:rsidRDefault="009A30BD" w:rsidP="001A5AC3">
      <w:pPr>
        <w:spacing w:before="480"/>
        <w:rPr>
          <w:b/>
        </w:rPr>
      </w:pPr>
    </w:p>
    <w:p w14:paraId="65A6613F" w14:textId="77777777" w:rsidR="009A30BD" w:rsidRDefault="009A30BD" w:rsidP="001A5AC3">
      <w:pPr>
        <w:spacing w:before="480"/>
        <w:rPr>
          <w:b/>
        </w:rPr>
      </w:pPr>
    </w:p>
    <w:p w14:paraId="47E83069" w14:textId="77777777" w:rsidR="009A30BD" w:rsidRDefault="009A30BD" w:rsidP="001A5AC3">
      <w:pPr>
        <w:spacing w:before="480"/>
        <w:rPr>
          <w:b/>
        </w:rPr>
      </w:pPr>
    </w:p>
    <w:p w14:paraId="6308EADF" w14:textId="77777777" w:rsidR="009A30BD" w:rsidRDefault="009A30BD" w:rsidP="001A5AC3">
      <w:pPr>
        <w:spacing w:before="480"/>
        <w:rPr>
          <w:b/>
        </w:rPr>
      </w:pPr>
    </w:p>
    <w:p w14:paraId="4AC0F239" w14:textId="77777777" w:rsidR="009A30BD" w:rsidRDefault="009A30BD" w:rsidP="001A5AC3">
      <w:pPr>
        <w:spacing w:before="480"/>
        <w:rPr>
          <w:b/>
        </w:rPr>
      </w:pPr>
    </w:p>
    <w:p w14:paraId="508B26AB" w14:textId="77777777" w:rsidR="009A30BD" w:rsidRDefault="009A30BD" w:rsidP="001A5AC3">
      <w:pPr>
        <w:spacing w:before="480"/>
        <w:rPr>
          <w:b/>
        </w:rPr>
      </w:pPr>
    </w:p>
    <w:p w14:paraId="02E31DDA" w14:textId="77777777" w:rsidR="009A30BD" w:rsidRDefault="009A30BD" w:rsidP="001A5AC3">
      <w:pPr>
        <w:spacing w:before="480"/>
        <w:rPr>
          <w:b/>
        </w:rPr>
      </w:pPr>
    </w:p>
    <w:p w14:paraId="2DA186C0" w14:textId="0557584C" w:rsidR="00F63896" w:rsidRDefault="00F63896" w:rsidP="001A5AC3">
      <w:pPr>
        <w:spacing w:before="480"/>
      </w:pPr>
      <w:r w:rsidRPr="00F63896">
        <w:rPr>
          <w:b/>
        </w:rPr>
        <w:t>Learner Motivation</w:t>
      </w:r>
      <w:r>
        <w:t xml:space="preserve"> - </w:t>
      </w:r>
      <w:r w:rsidRPr="00F63896">
        <w:t>The need to know — adult learners need to know why they need to learn something before learning it. Contextualizing for a lesson makes for clearer understanding as to why something should be learned.</w:t>
      </w:r>
    </w:p>
    <w:p w14:paraId="1E7CB27C" w14:textId="53C30529" w:rsidR="00F63896" w:rsidRDefault="00F63896">
      <w:r>
        <w:rPr>
          <w:b/>
        </w:rPr>
        <w:t>Learner Orientation</w:t>
      </w:r>
      <w:r w:rsidRPr="00F63896">
        <w:t xml:space="preserve"> —adults are motivated to learn to the extent that they perceive that it will help them perform tasks they confront in their life situations.</w:t>
      </w:r>
    </w:p>
    <w:p w14:paraId="7BA9D3C7" w14:textId="24D61539" w:rsidR="00F63896" w:rsidRDefault="00F63896">
      <w:r w:rsidRPr="00F63896">
        <w:rPr>
          <w:b/>
        </w:rPr>
        <w:t>Role of learners' experience</w:t>
      </w:r>
      <w:r w:rsidRPr="00F63896">
        <w:t xml:space="preserve"> —adult learners have a variety of experiences of life which represent the richest resource for learning. These experiences are however imbued with bias and presupposition.</w:t>
      </w:r>
    </w:p>
    <w:p w14:paraId="02682F93" w14:textId="3547B5AD" w:rsidR="00F63896" w:rsidRDefault="00F63896">
      <w:r w:rsidRPr="00F63896">
        <w:rPr>
          <w:b/>
        </w:rPr>
        <w:t>Learner self-concept</w:t>
      </w:r>
      <w:r w:rsidRPr="00F63896">
        <w:t xml:space="preserve"> —adults need to be responsible for their own decisions and to be treated as capable of self-direction. There is a move from dependent to self-directed learning.</w:t>
      </w:r>
    </w:p>
    <w:p w14:paraId="1B1182E5" w14:textId="26739798" w:rsidR="00F63896" w:rsidRDefault="00F63896">
      <w:r w:rsidRPr="00F63896">
        <w:rPr>
          <w:b/>
        </w:rPr>
        <w:t>Readiness to learn</w:t>
      </w:r>
      <w:r w:rsidRPr="00F63896">
        <w:t xml:space="preserve"> —adults are ready to learn those things they need to know in order to cope effectively with life situations. Adults learn content better when it is situationally appropriate. Adults learn better through problem solving.</w:t>
      </w:r>
    </w:p>
    <w:p w14:paraId="3B8B705F" w14:textId="7B57A274" w:rsidR="0096103C" w:rsidRDefault="00953CF6">
      <w:pPr>
        <w:rPr>
          <w:rStyle w:val="Hyperlink"/>
        </w:rPr>
      </w:pPr>
      <w:r>
        <w:t>These definitions take</w:t>
      </w:r>
      <w:r w:rsidR="00822AB3">
        <w:t>n</w:t>
      </w:r>
      <w:r>
        <w:t xml:space="preserve"> from: </w:t>
      </w:r>
      <w:hyperlink r:id="rId7" w:history="1">
        <w:r>
          <w:rPr>
            <w:rStyle w:val="Hyperlink"/>
          </w:rPr>
          <w:t>https://guides.library.utoronto.ca/c.php?g=448614&amp;p=3570562</w:t>
        </w:r>
      </w:hyperlink>
    </w:p>
    <w:p w14:paraId="6C003B97" w14:textId="77777777" w:rsidR="0096103C" w:rsidRDefault="0096103C">
      <w:pPr>
        <w:rPr>
          <w:rStyle w:val="Hyperlink"/>
        </w:rPr>
      </w:pPr>
      <w:r>
        <w:rPr>
          <w:rStyle w:val="Hyperlink"/>
        </w:rPr>
        <w:br w:type="page"/>
      </w:r>
    </w:p>
    <w:p w14:paraId="5FFB0F02" w14:textId="6DF16109" w:rsidR="0096103C" w:rsidRPr="000670D0" w:rsidRDefault="0014290B" w:rsidP="0096103C">
      <w:pPr>
        <w:pStyle w:val="Heading1"/>
        <w:rPr>
          <w:b/>
        </w:rPr>
      </w:pPr>
      <w:r>
        <w:rPr>
          <w:b/>
        </w:rPr>
        <w:lastRenderedPageBreak/>
        <w:t>Job Aid for Designing for Adult Learners</w:t>
      </w:r>
    </w:p>
    <w:p w14:paraId="3D7BA302" w14:textId="77777777" w:rsidR="0096103C" w:rsidRDefault="0096103C" w:rsidP="0096103C"/>
    <w:p w14:paraId="527ACB25" w14:textId="77777777" w:rsidR="0096103C" w:rsidRPr="004F734E" w:rsidRDefault="0096103C" w:rsidP="0096103C">
      <w:pPr>
        <w:pStyle w:val="Heading1"/>
      </w:pPr>
      <w:r w:rsidRPr="004F734E">
        <w:t xml:space="preserve">Examples of Different </w:t>
      </w:r>
      <w:r>
        <w:t xml:space="preserve">Ways </w:t>
      </w:r>
      <w:r w:rsidRPr="004F734E">
        <w:t xml:space="preserve">Instructional Elements </w:t>
      </w:r>
      <w:r>
        <w:t>Can</w:t>
      </w:r>
      <w:r w:rsidRPr="004F734E">
        <w:t xml:space="preserve"> Support Adult Learning Principles </w:t>
      </w:r>
    </w:p>
    <w:tbl>
      <w:tblPr>
        <w:tblStyle w:val="TableGrid"/>
        <w:tblW w:w="0" w:type="auto"/>
        <w:tblLayout w:type="fixed"/>
        <w:tblLook w:val="01E0" w:firstRow="1" w:lastRow="1" w:firstColumn="1" w:lastColumn="1" w:noHBand="0" w:noVBand="0"/>
      </w:tblPr>
      <w:tblGrid>
        <w:gridCol w:w="1435"/>
        <w:gridCol w:w="1710"/>
        <w:gridCol w:w="1979"/>
        <w:gridCol w:w="1934"/>
        <w:gridCol w:w="1790"/>
        <w:gridCol w:w="1942"/>
      </w:tblGrid>
      <w:tr w:rsidR="0096103C" w14:paraId="2510116D" w14:textId="77777777" w:rsidTr="003767D3">
        <w:trPr>
          <w:tblHeader/>
        </w:trPr>
        <w:tc>
          <w:tcPr>
            <w:tcW w:w="1435" w:type="dxa"/>
            <w:shd w:val="clear" w:color="auto" w:fill="F2F2F2" w:themeFill="background1" w:themeFillShade="F2"/>
          </w:tcPr>
          <w:p w14:paraId="4BD02362" w14:textId="77777777" w:rsidR="0096103C" w:rsidRPr="00111C4A" w:rsidRDefault="0096103C" w:rsidP="00DA62E9">
            <w:pPr>
              <w:rPr>
                <w:b/>
              </w:rPr>
            </w:pPr>
            <w:r w:rsidRPr="00111C4A">
              <w:rPr>
                <w:b/>
              </w:rPr>
              <w:t>Instructional Element</w:t>
            </w:r>
          </w:p>
        </w:tc>
        <w:tc>
          <w:tcPr>
            <w:tcW w:w="1710" w:type="dxa"/>
            <w:shd w:val="clear" w:color="auto" w:fill="F2F2F2" w:themeFill="background1" w:themeFillShade="F2"/>
          </w:tcPr>
          <w:p w14:paraId="0AEA3162" w14:textId="77777777" w:rsidR="0096103C" w:rsidRPr="00DE7257" w:rsidRDefault="0096103C" w:rsidP="00DA62E9">
            <w:pPr>
              <w:rPr>
                <w:b/>
              </w:rPr>
            </w:pPr>
            <w:r>
              <w:rPr>
                <w:b/>
              </w:rPr>
              <w:t xml:space="preserve">Learner </w:t>
            </w:r>
            <w:r w:rsidRPr="00DE7257">
              <w:rPr>
                <w:b/>
              </w:rPr>
              <w:t>Motivation</w:t>
            </w:r>
          </w:p>
        </w:tc>
        <w:tc>
          <w:tcPr>
            <w:tcW w:w="1979" w:type="dxa"/>
            <w:shd w:val="clear" w:color="auto" w:fill="F2F2F2" w:themeFill="background1" w:themeFillShade="F2"/>
          </w:tcPr>
          <w:p w14:paraId="55753AB7" w14:textId="77777777" w:rsidR="0096103C" w:rsidRPr="00DE7257" w:rsidRDefault="0096103C" w:rsidP="00DA62E9">
            <w:pPr>
              <w:rPr>
                <w:b/>
              </w:rPr>
            </w:pPr>
            <w:r>
              <w:rPr>
                <w:b/>
              </w:rPr>
              <w:t xml:space="preserve">Learner </w:t>
            </w:r>
            <w:r w:rsidRPr="00DE7257">
              <w:rPr>
                <w:b/>
              </w:rPr>
              <w:t>Orientation</w:t>
            </w:r>
          </w:p>
        </w:tc>
        <w:tc>
          <w:tcPr>
            <w:tcW w:w="1934" w:type="dxa"/>
            <w:shd w:val="clear" w:color="auto" w:fill="F2F2F2" w:themeFill="background1" w:themeFillShade="F2"/>
          </w:tcPr>
          <w:p w14:paraId="0D5A6E94" w14:textId="77777777" w:rsidR="0096103C" w:rsidRPr="00DE7257" w:rsidRDefault="0096103C" w:rsidP="00DA62E9">
            <w:pPr>
              <w:rPr>
                <w:b/>
              </w:rPr>
            </w:pPr>
            <w:r>
              <w:rPr>
                <w:b/>
              </w:rPr>
              <w:t xml:space="preserve">Learner </w:t>
            </w:r>
            <w:r w:rsidRPr="00DE7257">
              <w:rPr>
                <w:b/>
              </w:rPr>
              <w:t>Experience</w:t>
            </w:r>
          </w:p>
        </w:tc>
        <w:tc>
          <w:tcPr>
            <w:tcW w:w="1790" w:type="dxa"/>
            <w:shd w:val="clear" w:color="auto" w:fill="F2F2F2" w:themeFill="background1" w:themeFillShade="F2"/>
          </w:tcPr>
          <w:p w14:paraId="6150CD0D" w14:textId="77777777" w:rsidR="0096103C" w:rsidRPr="00DE7257" w:rsidRDefault="0096103C" w:rsidP="00DA62E9">
            <w:pPr>
              <w:rPr>
                <w:b/>
              </w:rPr>
            </w:pPr>
            <w:r>
              <w:rPr>
                <w:b/>
              </w:rPr>
              <w:t xml:space="preserve">Learner </w:t>
            </w:r>
            <w:r w:rsidRPr="00DE7257">
              <w:rPr>
                <w:b/>
              </w:rPr>
              <w:t>Self-Concept</w:t>
            </w:r>
          </w:p>
        </w:tc>
        <w:tc>
          <w:tcPr>
            <w:tcW w:w="1942" w:type="dxa"/>
            <w:shd w:val="clear" w:color="auto" w:fill="F2F2F2" w:themeFill="background1" w:themeFillShade="F2"/>
          </w:tcPr>
          <w:p w14:paraId="73D748C8" w14:textId="77777777" w:rsidR="0096103C" w:rsidRPr="00DE7257" w:rsidRDefault="0096103C" w:rsidP="00DA62E9">
            <w:pPr>
              <w:rPr>
                <w:b/>
              </w:rPr>
            </w:pPr>
            <w:r>
              <w:rPr>
                <w:b/>
              </w:rPr>
              <w:t xml:space="preserve">Learner </w:t>
            </w:r>
            <w:r w:rsidRPr="00DE7257">
              <w:rPr>
                <w:b/>
              </w:rPr>
              <w:t xml:space="preserve">Readiness </w:t>
            </w:r>
          </w:p>
        </w:tc>
      </w:tr>
      <w:tr w:rsidR="0096103C" w14:paraId="0AF6B2B3" w14:textId="77777777" w:rsidTr="003767D3">
        <w:tc>
          <w:tcPr>
            <w:tcW w:w="1435" w:type="dxa"/>
          </w:tcPr>
          <w:p w14:paraId="7479444F" w14:textId="77777777" w:rsidR="0096103C" w:rsidRPr="005C47D3" w:rsidRDefault="0096103C" w:rsidP="00DA62E9">
            <w:pPr>
              <w:rPr>
                <w:b/>
                <w:bCs/>
              </w:rPr>
            </w:pPr>
            <w:r w:rsidRPr="005C47D3">
              <w:rPr>
                <w:b/>
                <w:bCs/>
              </w:rPr>
              <w:t>Course Design</w:t>
            </w:r>
          </w:p>
        </w:tc>
        <w:tc>
          <w:tcPr>
            <w:tcW w:w="1710" w:type="dxa"/>
          </w:tcPr>
          <w:p w14:paraId="6B3E7000" w14:textId="77777777" w:rsidR="0096103C" w:rsidRDefault="0096103C" w:rsidP="00DA62E9">
            <w:r>
              <w:t>All assignments, activities and assessments are obviously essential to attaining the course and learning objectives; no superfluous work.</w:t>
            </w:r>
          </w:p>
          <w:p w14:paraId="555BA004" w14:textId="77777777" w:rsidR="0096103C" w:rsidRDefault="0096103C" w:rsidP="00DA62E9"/>
          <w:p w14:paraId="3716A893" w14:textId="77777777" w:rsidR="0096103C" w:rsidRDefault="0096103C" w:rsidP="00DA62E9">
            <w:r>
              <w:t>Consistent formatting across modules</w:t>
            </w:r>
          </w:p>
          <w:p w14:paraId="7B4DD130" w14:textId="77777777" w:rsidR="0096103C" w:rsidRDefault="0096103C" w:rsidP="00DA62E9"/>
          <w:p w14:paraId="735F0AB5" w14:textId="77777777" w:rsidR="0096103C" w:rsidRDefault="0096103C" w:rsidP="00DA62E9">
            <w:r>
              <w:t>Use Announcements as Advanced Organizer tying previous module’s content and work to upcoming module(s)</w:t>
            </w:r>
          </w:p>
          <w:p w14:paraId="202AADBA" w14:textId="77777777" w:rsidR="0096103C" w:rsidRDefault="0096103C" w:rsidP="00DA62E9"/>
          <w:p w14:paraId="205788AC" w14:textId="77777777" w:rsidR="0096103C" w:rsidRDefault="0096103C" w:rsidP="00DA62E9"/>
        </w:tc>
        <w:tc>
          <w:tcPr>
            <w:tcW w:w="1979" w:type="dxa"/>
          </w:tcPr>
          <w:p w14:paraId="5922E8A1" w14:textId="77777777" w:rsidR="0096103C" w:rsidRDefault="0096103C" w:rsidP="00DA62E9">
            <w:r>
              <w:t>Course objectives that clearly describe, in practical terms, what skills, abilities the learners will have when they successfully complete the course.</w:t>
            </w:r>
          </w:p>
          <w:p w14:paraId="2B434088" w14:textId="77777777" w:rsidR="0096103C" w:rsidRDefault="0096103C" w:rsidP="00DA62E9"/>
          <w:p w14:paraId="4E0F654A" w14:textId="77777777" w:rsidR="0096103C" w:rsidRDefault="0096103C" w:rsidP="00DA62E9">
            <w:r>
              <w:t>Learning objectives aligned with course objectives and are tied to acquisition of practical skills and abilities.</w:t>
            </w:r>
          </w:p>
          <w:p w14:paraId="3FADB774" w14:textId="77777777" w:rsidR="0096103C" w:rsidRDefault="0096103C" w:rsidP="00DA62E9"/>
          <w:p w14:paraId="0663A261" w14:textId="77777777" w:rsidR="0096103C" w:rsidRDefault="0096103C" w:rsidP="00DA62E9">
            <w:r>
              <w:t>Course “map” to show alignment to students</w:t>
            </w:r>
          </w:p>
        </w:tc>
        <w:tc>
          <w:tcPr>
            <w:tcW w:w="1934" w:type="dxa"/>
          </w:tcPr>
          <w:p w14:paraId="3759106C" w14:textId="77777777" w:rsidR="0096103C" w:rsidRDefault="0096103C" w:rsidP="00DA62E9">
            <w:r>
              <w:t xml:space="preserve">Personalized learning plan/path </w:t>
            </w:r>
          </w:p>
          <w:p w14:paraId="6ED7C703" w14:textId="77777777" w:rsidR="0096103C" w:rsidRDefault="0096103C" w:rsidP="00DA62E9"/>
          <w:p w14:paraId="66FABEBD" w14:textId="77777777" w:rsidR="0096103C" w:rsidRDefault="0096103C" w:rsidP="00DA62E9">
            <w:r>
              <w:t>Examples from the field/work for which the course is preparing learners</w:t>
            </w:r>
          </w:p>
          <w:p w14:paraId="3C745438" w14:textId="77777777" w:rsidR="0096103C" w:rsidRDefault="0096103C" w:rsidP="00DA62E9"/>
          <w:p w14:paraId="55CFAFF9" w14:textId="77777777" w:rsidR="0096103C" w:rsidRDefault="0096103C" w:rsidP="00DA62E9">
            <w:r>
              <w:t>Meets standards for accessibility</w:t>
            </w:r>
          </w:p>
        </w:tc>
        <w:tc>
          <w:tcPr>
            <w:tcW w:w="1790" w:type="dxa"/>
          </w:tcPr>
          <w:p w14:paraId="1B9ED62D" w14:textId="77777777" w:rsidR="0096103C" w:rsidRDefault="0096103C" w:rsidP="00DA62E9">
            <w:r>
              <w:t xml:space="preserve">Personalized learning paths </w:t>
            </w:r>
          </w:p>
          <w:p w14:paraId="378B3359" w14:textId="77777777" w:rsidR="0096103C" w:rsidRDefault="0096103C" w:rsidP="00DA62E9"/>
          <w:p w14:paraId="723D9D3E" w14:textId="77777777" w:rsidR="0096103C" w:rsidRDefault="0096103C" w:rsidP="00DA62E9">
            <w:r>
              <w:t>Optional activities (e.g., synchronous meetings, practices, interactive learning activities)</w:t>
            </w:r>
          </w:p>
          <w:p w14:paraId="40C65167" w14:textId="77777777" w:rsidR="0096103C" w:rsidRDefault="0096103C" w:rsidP="00DA62E9"/>
          <w:p w14:paraId="132DBC41" w14:textId="77777777" w:rsidR="0096103C" w:rsidRDefault="0096103C" w:rsidP="00DA62E9">
            <w:r>
              <w:t>Easy navigation</w:t>
            </w:r>
          </w:p>
          <w:p w14:paraId="5C9BC94D" w14:textId="77777777" w:rsidR="0096103C" w:rsidRDefault="0096103C" w:rsidP="00DA62E9"/>
          <w:p w14:paraId="5F8677F2" w14:textId="77777777" w:rsidR="0096103C" w:rsidRDefault="0096103C" w:rsidP="00DA62E9"/>
          <w:p w14:paraId="44B46B1C" w14:textId="77777777" w:rsidR="0096103C" w:rsidRDefault="0096103C" w:rsidP="00DA62E9"/>
          <w:p w14:paraId="587DF619" w14:textId="77777777" w:rsidR="0096103C" w:rsidRDefault="0096103C" w:rsidP="00DA62E9"/>
        </w:tc>
        <w:tc>
          <w:tcPr>
            <w:tcW w:w="1942" w:type="dxa"/>
          </w:tcPr>
          <w:p w14:paraId="7357109E" w14:textId="77777777" w:rsidR="0096103C" w:rsidRDefault="0096103C" w:rsidP="00DA62E9">
            <w:r>
              <w:t>Proper scaffolding of instruction and assignments to ensure learners have necessary skills and knowledge to perform tasks</w:t>
            </w:r>
          </w:p>
          <w:p w14:paraId="6E25810C" w14:textId="77777777" w:rsidR="0096103C" w:rsidRDefault="0096103C" w:rsidP="00DA62E9"/>
          <w:p w14:paraId="2FD488BF" w14:textId="77777777" w:rsidR="0096103C" w:rsidRDefault="0096103C" w:rsidP="00DA62E9">
            <w:r>
              <w:t>“Start Here” page with detailed guidance for what to do first</w:t>
            </w:r>
          </w:p>
          <w:p w14:paraId="078EC3B5" w14:textId="77777777" w:rsidR="0096103C" w:rsidRDefault="0096103C" w:rsidP="00DA62E9"/>
        </w:tc>
      </w:tr>
      <w:tr w:rsidR="0096103C" w14:paraId="362C68CE" w14:textId="77777777" w:rsidTr="003767D3">
        <w:tc>
          <w:tcPr>
            <w:tcW w:w="1435" w:type="dxa"/>
          </w:tcPr>
          <w:p w14:paraId="35323C7E" w14:textId="77777777" w:rsidR="0096103C" w:rsidRPr="005C47D3" w:rsidRDefault="0096103C" w:rsidP="00DA62E9">
            <w:pPr>
              <w:rPr>
                <w:b/>
                <w:bCs/>
              </w:rPr>
            </w:pPr>
            <w:r w:rsidRPr="005C47D3">
              <w:rPr>
                <w:b/>
                <w:bCs/>
              </w:rPr>
              <w:t>Course Welcome (text or video)</w:t>
            </w:r>
          </w:p>
        </w:tc>
        <w:tc>
          <w:tcPr>
            <w:tcW w:w="1710" w:type="dxa"/>
          </w:tcPr>
          <w:p w14:paraId="634781D7" w14:textId="77777777" w:rsidR="0096103C" w:rsidRDefault="0096103C" w:rsidP="00DA62E9">
            <w:r>
              <w:t>Explanation of how course fits into program’s curriculum and how curriculum will advance their work/life abilities</w:t>
            </w:r>
          </w:p>
          <w:p w14:paraId="494D0DAA" w14:textId="77777777" w:rsidR="0096103C" w:rsidRDefault="0096103C" w:rsidP="00DA62E9"/>
          <w:p w14:paraId="2C121690" w14:textId="77777777" w:rsidR="0096103C" w:rsidRDefault="0096103C" w:rsidP="00DA62E9"/>
        </w:tc>
        <w:tc>
          <w:tcPr>
            <w:tcW w:w="1979" w:type="dxa"/>
          </w:tcPr>
          <w:p w14:paraId="4CF86A0E" w14:textId="77777777" w:rsidR="0096103C" w:rsidRDefault="0096103C" w:rsidP="00DA62E9">
            <w:r>
              <w:t>Examples of how previous students have benefitted from the course.</w:t>
            </w:r>
          </w:p>
          <w:p w14:paraId="71096975" w14:textId="77777777" w:rsidR="0096103C" w:rsidRDefault="0096103C" w:rsidP="00DA62E9"/>
          <w:p w14:paraId="111FAD8F" w14:textId="2396AE14" w:rsidR="0096103C" w:rsidRDefault="0096103C" w:rsidP="00DA62E9">
            <w:r>
              <w:t>Examples/</w:t>
            </w:r>
            <w:r w:rsidR="003767D3">
              <w:t xml:space="preserve"> </w:t>
            </w:r>
            <w:r>
              <w:t>testimonials of how the skills/abilities acquired in the course are used in the workplace.</w:t>
            </w:r>
          </w:p>
        </w:tc>
        <w:tc>
          <w:tcPr>
            <w:tcW w:w="1934" w:type="dxa"/>
          </w:tcPr>
          <w:p w14:paraId="07520AC3" w14:textId="77777777" w:rsidR="0096103C" w:rsidRDefault="0096103C" w:rsidP="00DA62E9">
            <w:r>
              <w:t>Acknowledge and honor learners’ experience</w:t>
            </w:r>
          </w:p>
        </w:tc>
        <w:tc>
          <w:tcPr>
            <w:tcW w:w="1790" w:type="dxa"/>
          </w:tcPr>
          <w:p w14:paraId="71739D13" w14:textId="77777777" w:rsidR="0096103C" w:rsidRDefault="0096103C" w:rsidP="00DA62E9">
            <w:r>
              <w:t>Emphasize that learners are in charge of their learning experience in the course</w:t>
            </w:r>
          </w:p>
        </w:tc>
        <w:tc>
          <w:tcPr>
            <w:tcW w:w="1942" w:type="dxa"/>
          </w:tcPr>
          <w:p w14:paraId="7B5DD19E" w14:textId="77777777" w:rsidR="0096103C" w:rsidRDefault="0096103C" w:rsidP="00DA62E9">
            <w:r>
              <w:t xml:space="preserve">Highlight key factors associated with readiness to learn online and to attain the specific course objectives </w:t>
            </w:r>
          </w:p>
          <w:p w14:paraId="593F9401" w14:textId="77777777" w:rsidR="0096103C" w:rsidRDefault="0096103C" w:rsidP="00DA62E9"/>
          <w:p w14:paraId="771DE312" w14:textId="77777777" w:rsidR="0096103C" w:rsidRDefault="0096103C" w:rsidP="00DA62E9">
            <w:r>
              <w:t>“Start Here” page with detailed guidance for what to do first</w:t>
            </w:r>
          </w:p>
          <w:p w14:paraId="509D1B48" w14:textId="77777777" w:rsidR="0096103C" w:rsidRDefault="0096103C" w:rsidP="00DA62E9"/>
        </w:tc>
      </w:tr>
      <w:tr w:rsidR="0096103C" w14:paraId="6C6CF892" w14:textId="77777777" w:rsidTr="003767D3">
        <w:tc>
          <w:tcPr>
            <w:tcW w:w="1435" w:type="dxa"/>
          </w:tcPr>
          <w:p w14:paraId="60BD83E5" w14:textId="77777777" w:rsidR="0096103C" w:rsidRPr="005C47D3" w:rsidRDefault="0096103C" w:rsidP="00DA62E9">
            <w:pPr>
              <w:rPr>
                <w:b/>
                <w:bCs/>
              </w:rPr>
            </w:pPr>
            <w:r w:rsidRPr="005C47D3">
              <w:rPr>
                <w:b/>
                <w:bCs/>
              </w:rPr>
              <w:t>Syllabus</w:t>
            </w:r>
          </w:p>
        </w:tc>
        <w:tc>
          <w:tcPr>
            <w:tcW w:w="1710" w:type="dxa"/>
          </w:tcPr>
          <w:p w14:paraId="6179D8F5" w14:textId="77777777" w:rsidR="0096103C" w:rsidRDefault="0096103C" w:rsidP="00DA62E9">
            <w:r>
              <w:t xml:space="preserve">Course description that includes the “why” for the </w:t>
            </w:r>
            <w:r>
              <w:lastRenderedPageBreak/>
              <w:t xml:space="preserve">course in the context of learners’ lives and work </w:t>
            </w:r>
            <w:r w:rsidRPr="004E583B">
              <w:rPr>
                <w:b/>
                <w:bCs/>
              </w:rPr>
              <w:t>in practical language.</w:t>
            </w:r>
          </w:p>
        </w:tc>
        <w:tc>
          <w:tcPr>
            <w:tcW w:w="1979" w:type="dxa"/>
          </w:tcPr>
          <w:p w14:paraId="1A851702" w14:textId="77777777" w:rsidR="0096103C" w:rsidRDefault="0096103C" w:rsidP="00DA62E9">
            <w:r>
              <w:lastRenderedPageBreak/>
              <w:t xml:space="preserve">Course description that includes the “why” for the course in the </w:t>
            </w:r>
            <w:r>
              <w:lastRenderedPageBreak/>
              <w:t xml:space="preserve">context of learners’ lives and work </w:t>
            </w:r>
            <w:r w:rsidRPr="004E583B">
              <w:rPr>
                <w:b/>
                <w:bCs/>
              </w:rPr>
              <w:t>in practical language.</w:t>
            </w:r>
          </w:p>
        </w:tc>
        <w:tc>
          <w:tcPr>
            <w:tcW w:w="1934" w:type="dxa"/>
          </w:tcPr>
          <w:p w14:paraId="7ED05FB2" w14:textId="77777777" w:rsidR="0096103C" w:rsidRDefault="0096103C" w:rsidP="00DA62E9">
            <w:r>
              <w:lastRenderedPageBreak/>
              <w:t>Expectations for communications with instructor and other students.</w:t>
            </w:r>
          </w:p>
        </w:tc>
        <w:tc>
          <w:tcPr>
            <w:tcW w:w="1790" w:type="dxa"/>
          </w:tcPr>
          <w:p w14:paraId="1AF423CE" w14:textId="77777777" w:rsidR="0096103C" w:rsidRDefault="0096103C" w:rsidP="00DA62E9">
            <w:r>
              <w:t>Flexible due dates/Ability to work ahead</w:t>
            </w:r>
          </w:p>
          <w:p w14:paraId="230E5E4B" w14:textId="77777777" w:rsidR="0096103C" w:rsidRDefault="0096103C" w:rsidP="00DA62E9"/>
          <w:p w14:paraId="79442F85" w14:textId="77777777" w:rsidR="0096103C" w:rsidRDefault="0096103C" w:rsidP="00DA62E9">
            <w:r>
              <w:lastRenderedPageBreak/>
              <w:t>Make up/amnesty guidelines</w:t>
            </w:r>
          </w:p>
          <w:p w14:paraId="47DFFE12" w14:textId="77777777" w:rsidR="0096103C" w:rsidRDefault="0096103C" w:rsidP="00DA62E9"/>
          <w:p w14:paraId="7722E302" w14:textId="77777777" w:rsidR="0096103C" w:rsidRDefault="0096103C" w:rsidP="00DA62E9">
            <w:r>
              <w:t>Grading contract</w:t>
            </w:r>
          </w:p>
          <w:p w14:paraId="106BC834" w14:textId="77777777" w:rsidR="0096103C" w:rsidRDefault="0096103C" w:rsidP="00DA62E9"/>
          <w:p w14:paraId="11EC2BC4" w14:textId="77777777" w:rsidR="0096103C" w:rsidRDefault="0096103C" w:rsidP="00DA62E9">
            <w:r>
              <w:t>Assignment due times at end of due date (e.g., 11:59 pm)</w:t>
            </w:r>
          </w:p>
          <w:p w14:paraId="2C57AC83" w14:textId="77777777" w:rsidR="0096103C" w:rsidRDefault="0096103C" w:rsidP="00DA62E9"/>
          <w:p w14:paraId="3A81DACF" w14:textId="77777777" w:rsidR="0096103C" w:rsidRDefault="0096103C" w:rsidP="00DA62E9">
            <w:r>
              <w:t>Instructor email availability and expectations.</w:t>
            </w:r>
          </w:p>
          <w:p w14:paraId="22B3FA0A" w14:textId="77777777" w:rsidR="0096103C" w:rsidRDefault="0096103C" w:rsidP="00DA62E9"/>
          <w:p w14:paraId="6D8C0601" w14:textId="77777777" w:rsidR="0096103C" w:rsidRDefault="0096103C" w:rsidP="00DA62E9">
            <w:r>
              <w:t xml:space="preserve">Give estimates of time needed to complete tasks (content and assignments) </w:t>
            </w:r>
          </w:p>
          <w:p w14:paraId="2FCF534B" w14:textId="77777777" w:rsidR="0096103C" w:rsidRDefault="0096103C" w:rsidP="00DA62E9"/>
          <w:p w14:paraId="3FBB32B2" w14:textId="77777777" w:rsidR="0096103C" w:rsidRDefault="0096103C" w:rsidP="00DA62E9"/>
        </w:tc>
        <w:tc>
          <w:tcPr>
            <w:tcW w:w="1942" w:type="dxa"/>
          </w:tcPr>
          <w:p w14:paraId="0B94B753" w14:textId="77777777" w:rsidR="0096103C" w:rsidRDefault="0096103C" w:rsidP="00DA62E9">
            <w:r>
              <w:lastRenderedPageBreak/>
              <w:t>Readiness assessment</w:t>
            </w:r>
          </w:p>
          <w:p w14:paraId="6349AAC4" w14:textId="77777777" w:rsidR="0096103C" w:rsidRDefault="0096103C" w:rsidP="00DA62E9"/>
          <w:p w14:paraId="1C290336" w14:textId="77777777" w:rsidR="0096103C" w:rsidRDefault="0096103C" w:rsidP="00DA62E9"/>
        </w:tc>
      </w:tr>
      <w:tr w:rsidR="0096103C" w14:paraId="370EE81F" w14:textId="77777777" w:rsidTr="003767D3">
        <w:tc>
          <w:tcPr>
            <w:tcW w:w="1435" w:type="dxa"/>
          </w:tcPr>
          <w:p w14:paraId="2B88DD98" w14:textId="77777777" w:rsidR="0096103C" w:rsidRPr="005C47D3" w:rsidRDefault="0096103C" w:rsidP="00DA62E9">
            <w:pPr>
              <w:rPr>
                <w:b/>
                <w:bCs/>
              </w:rPr>
            </w:pPr>
            <w:r w:rsidRPr="005C47D3">
              <w:rPr>
                <w:b/>
                <w:bCs/>
              </w:rPr>
              <w:t>Schedule</w:t>
            </w:r>
          </w:p>
        </w:tc>
        <w:tc>
          <w:tcPr>
            <w:tcW w:w="1710" w:type="dxa"/>
          </w:tcPr>
          <w:p w14:paraId="3CA9E111" w14:textId="77777777" w:rsidR="0096103C" w:rsidRDefault="0096103C" w:rsidP="00DA62E9"/>
        </w:tc>
        <w:tc>
          <w:tcPr>
            <w:tcW w:w="1979" w:type="dxa"/>
          </w:tcPr>
          <w:p w14:paraId="5C2C22A4" w14:textId="77777777" w:rsidR="0096103C" w:rsidRDefault="0096103C" w:rsidP="00DA62E9"/>
        </w:tc>
        <w:tc>
          <w:tcPr>
            <w:tcW w:w="1934" w:type="dxa"/>
          </w:tcPr>
          <w:p w14:paraId="2439C2C6" w14:textId="77777777" w:rsidR="0096103C" w:rsidRDefault="0096103C" w:rsidP="00DA62E9"/>
        </w:tc>
        <w:tc>
          <w:tcPr>
            <w:tcW w:w="1790" w:type="dxa"/>
          </w:tcPr>
          <w:p w14:paraId="56F1ED8F" w14:textId="77777777" w:rsidR="0096103C" w:rsidRDefault="0096103C" w:rsidP="00DA62E9">
            <w:r>
              <w:t>Modules open 2 weeks prior to start date and remain open.</w:t>
            </w:r>
          </w:p>
          <w:p w14:paraId="1A3379AB" w14:textId="77777777" w:rsidR="0096103C" w:rsidRDefault="0096103C" w:rsidP="00DA62E9"/>
          <w:p w14:paraId="43CF4C1E" w14:textId="77777777" w:rsidR="0096103C" w:rsidRDefault="0096103C" w:rsidP="00DA62E9">
            <w:r>
              <w:t>Assignment due times at end of due date (e.g., 11:59 pm)</w:t>
            </w:r>
          </w:p>
          <w:p w14:paraId="02A8012E" w14:textId="77777777" w:rsidR="0096103C" w:rsidRDefault="0096103C" w:rsidP="00DA62E9"/>
        </w:tc>
        <w:tc>
          <w:tcPr>
            <w:tcW w:w="1942" w:type="dxa"/>
          </w:tcPr>
          <w:p w14:paraId="0241F2DE" w14:textId="77777777" w:rsidR="0096103C" w:rsidRDefault="0096103C" w:rsidP="00DA62E9"/>
        </w:tc>
      </w:tr>
      <w:tr w:rsidR="0096103C" w14:paraId="35CA706F" w14:textId="77777777" w:rsidTr="003767D3">
        <w:tc>
          <w:tcPr>
            <w:tcW w:w="1435" w:type="dxa"/>
          </w:tcPr>
          <w:p w14:paraId="51EBC3F3" w14:textId="77777777" w:rsidR="0096103C" w:rsidRPr="005C47D3" w:rsidRDefault="0096103C" w:rsidP="00DA62E9">
            <w:pPr>
              <w:rPr>
                <w:b/>
                <w:bCs/>
              </w:rPr>
            </w:pPr>
            <w:r w:rsidRPr="005C47D3">
              <w:rPr>
                <w:b/>
                <w:bCs/>
              </w:rPr>
              <w:t>Readings</w:t>
            </w:r>
          </w:p>
        </w:tc>
        <w:tc>
          <w:tcPr>
            <w:tcW w:w="1710" w:type="dxa"/>
          </w:tcPr>
          <w:p w14:paraId="5CC9198B" w14:textId="77777777" w:rsidR="0096103C" w:rsidRPr="009A64EC" w:rsidRDefault="0096103C" w:rsidP="00DA62E9">
            <w:r w:rsidRPr="009A64EC">
              <w:t>Describe how readings support scaffolding of learning</w:t>
            </w:r>
          </w:p>
          <w:p w14:paraId="29E5C24A" w14:textId="77777777" w:rsidR="0096103C" w:rsidRPr="009A64EC" w:rsidRDefault="0096103C" w:rsidP="00DA62E9"/>
          <w:p w14:paraId="6E5B4DB9" w14:textId="77777777" w:rsidR="0096103C" w:rsidRDefault="0096103C" w:rsidP="00DA62E9">
            <w:r w:rsidRPr="009A64EC">
              <w:t>Tie to previous knowledge</w:t>
            </w:r>
          </w:p>
          <w:p w14:paraId="3FC19EEE" w14:textId="77777777" w:rsidR="0096103C" w:rsidRDefault="0096103C" w:rsidP="00DA62E9"/>
          <w:p w14:paraId="01FAD985" w14:textId="77777777" w:rsidR="0096103C" w:rsidRPr="009A64EC" w:rsidRDefault="0096103C" w:rsidP="00DA62E9">
            <w:r w:rsidRPr="009A64EC">
              <w:t xml:space="preserve">Not redundant of </w:t>
            </w:r>
            <w:r>
              <w:t>lecture</w:t>
            </w:r>
            <w:r w:rsidRPr="009A64EC">
              <w:t>s</w:t>
            </w:r>
          </w:p>
          <w:p w14:paraId="0F777A9E" w14:textId="77777777" w:rsidR="0096103C" w:rsidRPr="009A64EC" w:rsidRDefault="0096103C" w:rsidP="00DA62E9"/>
        </w:tc>
        <w:tc>
          <w:tcPr>
            <w:tcW w:w="1979" w:type="dxa"/>
          </w:tcPr>
          <w:p w14:paraId="75A7B4D2" w14:textId="77777777" w:rsidR="0096103C" w:rsidRPr="009A64EC" w:rsidRDefault="0096103C" w:rsidP="00DA62E9">
            <w:r w:rsidRPr="009A64EC">
              <w:t>Describe how specific readings will be useful</w:t>
            </w:r>
          </w:p>
        </w:tc>
        <w:tc>
          <w:tcPr>
            <w:tcW w:w="1934" w:type="dxa"/>
          </w:tcPr>
          <w:p w14:paraId="3DD0E0B0" w14:textId="77777777" w:rsidR="0096103C" w:rsidRPr="009A64EC" w:rsidRDefault="0096103C" w:rsidP="00DA62E9">
            <w:r w:rsidRPr="009A64EC">
              <w:t>Learners suggest readings from their own experience</w:t>
            </w:r>
          </w:p>
        </w:tc>
        <w:tc>
          <w:tcPr>
            <w:tcW w:w="1790" w:type="dxa"/>
          </w:tcPr>
          <w:p w14:paraId="11489848" w14:textId="77777777" w:rsidR="0096103C" w:rsidRPr="009A64EC" w:rsidRDefault="0096103C" w:rsidP="00DA62E9">
            <w:r w:rsidRPr="009A64EC">
              <w:t>Textbook and reading assignments for course provided in advance of module opening</w:t>
            </w:r>
          </w:p>
          <w:p w14:paraId="2906BB8E" w14:textId="77777777" w:rsidR="0096103C" w:rsidRPr="009A64EC" w:rsidRDefault="0096103C" w:rsidP="00DA62E9"/>
        </w:tc>
        <w:tc>
          <w:tcPr>
            <w:tcW w:w="1942" w:type="dxa"/>
          </w:tcPr>
          <w:p w14:paraId="0255EF50" w14:textId="77777777" w:rsidR="0096103C" w:rsidRPr="009A64EC" w:rsidRDefault="0096103C" w:rsidP="00DA62E9">
            <w:r w:rsidRPr="009A64EC">
              <w:t>Relevant and not extraneous content</w:t>
            </w:r>
          </w:p>
        </w:tc>
      </w:tr>
      <w:tr w:rsidR="0096103C" w14:paraId="6625D3CA" w14:textId="77777777" w:rsidTr="003767D3">
        <w:tc>
          <w:tcPr>
            <w:tcW w:w="1435" w:type="dxa"/>
          </w:tcPr>
          <w:p w14:paraId="324817C9" w14:textId="77777777" w:rsidR="0096103C" w:rsidRPr="005C47D3" w:rsidRDefault="0096103C" w:rsidP="00DA62E9">
            <w:pPr>
              <w:rPr>
                <w:b/>
                <w:bCs/>
              </w:rPr>
            </w:pPr>
            <w:r w:rsidRPr="005C47D3">
              <w:rPr>
                <w:b/>
                <w:bCs/>
              </w:rPr>
              <w:t>Lectures</w:t>
            </w:r>
          </w:p>
        </w:tc>
        <w:tc>
          <w:tcPr>
            <w:tcW w:w="1710" w:type="dxa"/>
          </w:tcPr>
          <w:p w14:paraId="12C5531D" w14:textId="77777777" w:rsidR="0096103C" w:rsidRPr="009A64EC" w:rsidRDefault="0096103C" w:rsidP="00DA62E9">
            <w:r w:rsidRPr="009A64EC">
              <w:t>Describe how lectures support scaffolding of learning</w:t>
            </w:r>
          </w:p>
          <w:p w14:paraId="371231E3" w14:textId="77777777" w:rsidR="0096103C" w:rsidRPr="009A64EC" w:rsidRDefault="0096103C" w:rsidP="00DA62E9"/>
          <w:p w14:paraId="5010ADB3" w14:textId="77777777" w:rsidR="0096103C" w:rsidRPr="009A64EC" w:rsidRDefault="0096103C" w:rsidP="00DA62E9">
            <w:r w:rsidRPr="009A64EC">
              <w:t xml:space="preserve">Tie to previous knowledge </w:t>
            </w:r>
          </w:p>
          <w:p w14:paraId="2AE49CDF" w14:textId="77777777" w:rsidR="0096103C" w:rsidRPr="009A64EC" w:rsidRDefault="0096103C" w:rsidP="00DA62E9"/>
          <w:p w14:paraId="1F62DF9F" w14:textId="77777777" w:rsidR="0096103C" w:rsidRPr="009A64EC" w:rsidRDefault="0096103C" w:rsidP="00DA62E9">
            <w:r w:rsidRPr="009A64EC">
              <w:t>Not redundant of readings</w:t>
            </w:r>
          </w:p>
          <w:p w14:paraId="2F298A9D" w14:textId="77777777" w:rsidR="0096103C" w:rsidRPr="009A64EC" w:rsidRDefault="0096103C" w:rsidP="00DA62E9"/>
        </w:tc>
        <w:tc>
          <w:tcPr>
            <w:tcW w:w="1979" w:type="dxa"/>
            <w:shd w:val="clear" w:color="auto" w:fill="auto"/>
          </w:tcPr>
          <w:p w14:paraId="67B7772F" w14:textId="77777777" w:rsidR="0096103C" w:rsidRDefault="0096103C" w:rsidP="00DA62E9">
            <w:r w:rsidRPr="009A64EC">
              <w:lastRenderedPageBreak/>
              <w:t xml:space="preserve">Describe how specific </w:t>
            </w:r>
            <w:r>
              <w:t>lecture</w:t>
            </w:r>
            <w:r w:rsidRPr="009A64EC">
              <w:t>s will be useful</w:t>
            </w:r>
          </w:p>
          <w:p w14:paraId="0464313A" w14:textId="77777777" w:rsidR="0096103C" w:rsidRDefault="0096103C" w:rsidP="00DA62E9"/>
          <w:p w14:paraId="12C127CF" w14:textId="3B08A898" w:rsidR="0096103C" w:rsidRPr="009A64EC" w:rsidRDefault="0096103C" w:rsidP="00DA62E9">
            <w:r>
              <w:t xml:space="preserve">Explicit connection (segues) </w:t>
            </w:r>
            <w:r w:rsidR="00526BCF">
              <w:t>among</w:t>
            </w:r>
            <w:r>
              <w:t xml:space="preserve"> lectures (e.g., </w:t>
            </w:r>
            <w:r>
              <w:lastRenderedPageBreak/>
              <w:t>referring back to previous lecture and forward to next).</w:t>
            </w:r>
          </w:p>
        </w:tc>
        <w:tc>
          <w:tcPr>
            <w:tcW w:w="1934" w:type="dxa"/>
          </w:tcPr>
          <w:p w14:paraId="1720EA59" w14:textId="77777777" w:rsidR="0096103C" w:rsidRPr="009A64EC" w:rsidRDefault="0096103C" w:rsidP="00DA62E9">
            <w:r>
              <w:lastRenderedPageBreak/>
              <w:t>Lectures captioned</w:t>
            </w:r>
          </w:p>
        </w:tc>
        <w:tc>
          <w:tcPr>
            <w:tcW w:w="1790" w:type="dxa"/>
          </w:tcPr>
          <w:p w14:paraId="64CB0A02" w14:textId="77777777" w:rsidR="0096103C" w:rsidRPr="009A64EC" w:rsidRDefault="0096103C" w:rsidP="00DA62E9">
            <w:r w:rsidRPr="009A64EC">
              <w:t>Lectures available to review at all times</w:t>
            </w:r>
          </w:p>
          <w:p w14:paraId="5C4BD8F9" w14:textId="77777777" w:rsidR="0096103C" w:rsidRPr="009A64EC" w:rsidRDefault="0096103C" w:rsidP="00DA62E9"/>
          <w:p w14:paraId="64CFB806" w14:textId="77777777" w:rsidR="0096103C" w:rsidRPr="009A64EC" w:rsidRDefault="0096103C" w:rsidP="00DA62E9">
            <w:r w:rsidRPr="009A64EC">
              <w:t xml:space="preserve">Brief lecture segments (less </w:t>
            </w:r>
            <w:r w:rsidRPr="009A64EC">
              <w:lastRenderedPageBreak/>
              <w:t>than 10 minutes); mobile-enabled</w:t>
            </w:r>
          </w:p>
          <w:p w14:paraId="0FD3A9C8" w14:textId="77777777" w:rsidR="0096103C" w:rsidRPr="009A64EC" w:rsidRDefault="0096103C" w:rsidP="00DA62E9"/>
          <w:p w14:paraId="46250AD7" w14:textId="77777777" w:rsidR="0096103C" w:rsidRPr="009A64EC" w:rsidRDefault="0096103C" w:rsidP="00DA62E9"/>
          <w:p w14:paraId="161DA1E4" w14:textId="77777777" w:rsidR="0096103C" w:rsidRPr="009A64EC" w:rsidRDefault="0096103C" w:rsidP="00DA62E9"/>
        </w:tc>
        <w:tc>
          <w:tcPr>
            <w:tcW w:w="1942" w:type="dxa"/>
          </w:tcPr>
          <w:p w14:paraId="09D85BC2" w14:textId="77777777" w:rsidR="0096103C" w:rsidRDefault="0096103C" w:rsidP="00DA62E9">
            <w:r w:rsidRPr="009A64EC">
              <w:lastRenderedPageBreak/>
              <w:t>Interactive lectures</w:t>
            </w:r>
          </w:p>
          <w:p w14:paraId="4C44D03B" w14:textId="77777777" w:rsidR="0096103C" w:rsidRDefault="0096103C" w:rsidP="00DA62E9"/>
          <w:p w14:paraId="06F54E77" w14:textId="77777777" w:rsidR="0096103C" w:rsidRPr="009A64EC" w:rsidRDefault="0096103C" w:rsidP="00DA62E9">
            <w:r>
              <w:t xml:space="preserve">Replace some lectures with branching scenarios to </w:t>
            </w:r>
            <w:r>
              <w:lastRenderedPageBreak/>
              <w:t>encourage application.</w:t>
            </w:r>
          </w:p>
          <w:p w14:paraId="0BCFD558" w14:textId="77777777" w:rsidR="0096103C" w:rsidRPr="009A64EC" w:rsidRDefault="0096103C" w:rsidP="00DA62E9"/>
          <w:p w14:paraId="3F384798" w14:textId="77777777" w:rsidR="0096103C" w:rsidRPr="009A64EC" w:rsidRDefault="0096103C" w:rsidP="00DA62E9"/>
          <w:p w14:paraId="6D1F55A7" w14:textId="77777777" w:rsidR="0096103C" w:rsidRPr="009A64EC" w:rsidRDefault="0096103C" w:rsidP="00DA62E9"/>
        </w:tc>
      </w:tr>
      <w:tr w:rsidR="0096103C" w14:paraId="2C9AD67C" w14:textId="77777777" w:rsidTr="003767D3">
        <w:tc>
          <w:tcPr>
            <w:tcW w:w="1435" w:type="dxa"/>
          </w:tcPr>
          <w:p w14:paraId="543ACA6B" w14:textId="77777777" w:rsidR="0096103C" w:rsidRPr="005C47D3" w:rsidRDefault="0096103C" w:rsidP="00DA62E9">
            <w:pPr>
              <w:rPr>
                <w:b/>
                <w:bCs/>
              </w:rPr>
            </w:pPr>
            <w:r w:rsidRPr="005C47D3">
              <w:rPr>
                <w:b/>
                <w:bCs/>
              </w:rPr>
              <w:lastRenderedPageBreak/>
              <w:t>Discussion Board</w:t>
            </w:r>
          </w:p>
        </w:tc>
        <w:tc>
          <w:tcPr>
            <w:tcW w:w="1710" w:type="dxa"/>
          </w:tcPr>
          <w:p w14:paraId="6E744322" w14:textId="77777777" w:rsidR="0096103C" w:rsidRDefault="0096103C" w:rsidP="00DA62E9">
            <w:r>
              <w:t xml:space="preserve">Description of relevance of DB to attainment of LOs. </w:t>
            </w:r>
          </w:p>
          <w:p w14:paraId="7D406E80" w14:textId="77777777" w:rsidR="0096103C" w:rsidRDefault="0096103C" w:rsidP="00DA62E9"/>
          <w:p w14:paraId="2BDC2E25" w14:textId="77777777" w:rsidR="0096103C" w:rsidRDefault="0096103C" w:rsidP="00DA62E9">
            <w:r>
              <w:t>Grading rubrics</w:t>
            </w:r>
          </w:p>
          <w:p w14:paraId="38E30ED8" w14:textId="77777777" w:rsidR="0096103C" w:rsidRDefault="0096103C" w:rsidP="00DA62E9"/>
          <w:p w14:paraId="79BD404B" w14:textId="77777777" w:rsidR="0096103C" w:rsidRDefault="0096103C" w:rsidP="00DA62E9">
            <w:r>
              <w:t>Instructor feedback</w:t>
            </w:r>
          </w:p>
          <w:p w14:paraId="6C58768D" w14:textId="77777777" w:rsidR="0096103C" w:rsidRDefault="0096103C" w:rsidP="00DA62E9"/>
          <w:p w14:paraId="18C9026D" w14:textId="77777777" w:rsidR="0096103C" w:rsidRDefault="0096103C" w:rsidP="00DA62E9"/>
        </w:tc>
        <w:tc>
          <w:tcPr>
            <w:tcW w:w="1979" w:type="dxa"/>
          </w:tcPr>
          <w:p w14:paraId="726EC52B" w14:textId="77777777" w:rsidR="0096103C" w:rsidRDefault="0096103C" w:rsidP="00DA62E9">
            <w:r>
              <w:t>Real-world scenarios</w:t>
            </w:r>
          </w:p>
          <w:p w14:paraId="1E8EFDF5" w14:textId="77777777" w:rsidR="0096103C" w:rsidRDefault="0096103C" w:rsidP="00DA62E9"/>
          <w:p w14:paraId="6EB152E1" w14:textId="77777777" w:rsidR="0096103C" w:rsidRDefault="0096103C" w:rsidP="00DA62E9">
            <w:r>
              <w:t>Reflections</w:t>
            </w:r>
          </w:p>
          <w:p w14:paraId="23C56864" w14:textId="77777777" w:rsidR="0096103C" w:rsidRDefault="0096103C" w:rsidP="00DA62E9"/>
          <w:p w14:paraId="67429878" w14:textId="77777777" w:rsidR="0096103C" w:rsidRDefault="0096103C" w:rsidP="00DA62E9"/>
        </w:tc>
        <w:tc>
          <w:tcPr>
            <w:tcW w:w="1934" w:type="dxa"/>
          </w:tcPr>
          <w:p w14:paraId="00E03320" w14:textId="77777777" w:rsidR="0096103C" w:rsidRDefault="0096103C" w:rsidP="00DA62E9">
            <w:r>
              <w:t>Intro DB – students share backgrounds and interests as they relate to the course</w:t>
            </w:r>
          </w:p>
          <w:p w14:paraId="34160BF2" w14:textId="77777777" w:rsidR="0096103C" w:rsidRDefault="0096103C" w:rsidP="00DA62E9"/>
          <w:p w14:paraId="4CD51B08" w14:textId="77777777" w:rsidR="0096103C" w:rsidRDefault="0096103C" w:rsidP="00DA62E9">
            <w:r>
              <w:t>Prompts that ask students to apply concepts to their work/life.</w:t>
            </w:r>
          </w:p>
          <w:p w14:paraId="267AD843" w14:textId="77777777" w:rsidR="0096103C" w:rsidRDefault="0096103C" w:rsidP="00DA62E9"/>
          <w:p w14:paraId="51C7561C" w14:textId="77777777" w:rsidR="0096103C" w:rsidRDefault="0096103C" w:rsidP="00DA62E9">
            <w:r>
              <w:t>Peer interaction/review</w:t>
            </w:r>
          </w:p>
          <w:p w14:paraId="673F4CDB" w14:textId="77777777" w:rsidR="0096103C" w:rsidRDefault="0096103C" w:rsidP="00DA62E9"/>
        </w:tc>
        <w:tc>
          <w:tcPr>
            <w:tcW w:w="1790" w:type="dxa"/>
          </w:tcPr>
          <w:p w14:paraId="027461DA" w14:textId="77777777" w:rsidR="0096103C" w:rsidRDefault="0096103C" w:rsidP="00DA62E9">
            <w:r>
              <w:t xml:space="preserve">Grading rubrics </w:t>
            </w:r>
          </w:p>
          <w:p w14:paraId="45DA9813" w14:textId="77777777" w:rsidR="0096103C" w:rsidRDefault="0096103C" w:rsidP="00DA62E9"/>
          <w:p w14:paraId="6E08ED5D" w14:textId="77777777" w:rsidR="0096103C" w:rsidRDefault="0096103C" w:rsidP="00DA62E9">
            <w:r>
              <w:t>Students have choices in which prompts to answer.</w:t>
            </w:r>
          </w:p>
        </w:tc>
        <w:tc>
          <w:tcPr>
            <w:tcW w:w="1942" w:type="dxa"/>
          </w:tcPr>
          <w:p w14:paraId="6786FF2B" w14:textId="77777777" w:rsidR="0096103C" w:rsidRDefault="0096103C" w:rsidP="00DA62E9">
            <w:r>
              <w:t>Instructor feedback</w:t>
            </w:r>
          </w:p>
          <w:p w14:paraId="40F81486" w14:textId="77777777" w:rsidR="0096103C" w:rsidRDefault="0096103C" w:rsidP="00DA62E9"/>
          <w:p w14:paraId="083834D8" w14:textId="77777777" w:rsidR="0096103C" w:rsidRDefault="0096103C" w:rsidP="00DA62E9">
            <w:r>
              <w:t>Problem-based prompts</w:t>
            </w:r>
          </w:p>
          <w:p w14:paraId="6F5005FA" w14:textId="77777777" w:rsidR="0096103C" w:rsidRDefault="0096103C" w:rsidP="00DA62E9"/>
          <w:p w14:paraId="6C023AE8" w14:textId="77777777" w:rsidR="0096103C" w:rsidRDefault="0096103C" w:rsidP="00DA62E9">
            <w:r>
              <w:t>Prompts involving analysis.</w:t>
            </w:r>
          </w:p>
        </w:tc>
      </w:tr>
      <w:tr w:rsidR="0096103C" w14:paraId="4EEDF59D" w14:textId="77777777" w:rsidTr="003767D3">
        <w:tc>
          <w:tcPr>
            <w:tcW w:w="1435" w:type="dxa"/>
          </w:tcPr>
          <w:p w14:paraId="4B2324CB" w14:textId="77777777" w:rsidR="0096103C" w:rsidRPr="005C47D3" w:rsidRDefault="0096103C" w:rsidP="00DA62E9">
            <w:pPr>
              <w:rPr>
                <w:b/>
                <w:bCs/>
              </w:rPr>
            </w:pPr>
            <w:r w:rsidRPr="005C47D3">
              <w:rPr>
                <w:b/>
                <w:bCs/>
              </w:rPr>
              <w:t>Assignments</w:t>
            </w:r>
          </w:p>
        </w:tc>
        <w:tc>
          <w:tcPr>
            <w:tcW w:w="1710" w:type="dxa"/>
          </w:tcPr>
          <w:p w14:paraId="1E47601B" w14:textId="77777777" w:rsidR="0096103C" w:rsidRDefault="0096103C" w:rsidP="00DA62E9">
            <w:r>
              <w:t>Description of relevance (the “why”) of assignment to attainment of LOs.</w:t>
            </w:r>
          </w:p>
          <w:p w14:paraId="333EB5EA" w14:textId="77777777" w:rsidR="0096103C" w:rsidRDefault="0096103C" w:rsidP="00DA62E9"/>
          <w:p w14:paraId="07D59E24" w14:textId="77777777" w:rsidR="0096103C" w:rsidRDefault="0096103C" w:rsidP="00DA62E9">
            <w:r>
              <w:t>Portfolio that learners can build on and use after the course/program has been completed.</w:t>
            </w:r>
          </w:p>
          <w:p w14:paraId="29206D2C" w14:textId="77777777" w:rsidR="0096103C" w:rsidRDefault="0096103C" w:rsidP="00DA62E9"/>
          <w:p w14:paraId="5C08FD43" w14:textId="77777777" w:rsidR="0096103C" w:rsidRDefault="0096103C" w:rsidP="00DA62E9">
            <w:r>
              <w:t>Grading rubrics</w:t>
            </w:r>
          </w:p>
          <w:p w14:paraId="5FE8C9BB" w14:textId="77777777" w:rsidR="0096103C" w:rsidRDefault="0096103C" w:rsidP="00DA62E9"/>
          <w:p w14:paraId="008FF556" w14:textId="77777777" w:rsidR="0096103C" w:rsidRDefault="0096103C" w:rsidP="00DA62E9">
            <w:r>
              <w:t>Instructor feedback</w:t>
            </w:r>
          </w:p>
        </w:tc>
        <w:tc>
          <w:tcPr>
            <w:tcW w:w="1979" w:type="dxa"/>
          </w:tcPr>
          <w:p w14:paraId="2DC39506" w14:textId="77777777" w:rsidR="0096103C" w:rsidRDefault="0096103C" w:rsidP="00DA62E9">
            <w:r>
              <w:t>Scenarios</w:t>
            </w:r>
          </w:p>
          <w:p w14:paraId="4338C42C" w14:textId="77777777" w:rsidR="0096103C" w:rsidRDefault="0096103C" w:rsidP="00DA62E9"/>
          <w:p w14:paraId="73CAABC7" w14:textId="77777777" w:rsidR="0096103C" w:rsidRDefault="0096103C" w:rsidP="00DA62E9">
            <w:r>
              <w:t>Reflection tasks that require application to personal interests/goals</w:t>
            </w:r>
          </w:p>
          <w:p w14:paraId="412CE715" w14:textId="77777777" w:rsidR="0096103C" w:rsidRDefault="0096103C" w:rsidP="00DA62E9"/>
          <w:p w14:paraId="72A9D8C8" w14:textId="77777777" w:rsidR="0096103C" w:rsidRDefault="0096103C" w:rsidP="00DA62E9">
            <w:r>
              <w:t xml:space="preserve">Action planning </w:t>
            </w:r>
          </w:p>
          <w:p w14:paraId="78EE6DC9" w14:textId="77777777" w:rsidR="0096103C" w:rsidRDefault="0096103C" w:rsidP="00DA62E9"/>
          <w:p w14:paraId="6DF69F0B" w14:textId="77777777" w:rsidR="0096103C" w:rsidRDefault="0096103C" w:rsidP="00DA62E9">
            <w:r>
              <w:t>Group assignments that mimic real-world situations</w:t>
            </w:r>
          </w:p>
          <w:p w14:paraId="29405FE9" w14:textId="77777777" w:rsidR="0096103C" w:rsidRDefault="0096103C" w:rsidP="00DA62E9"/>
          <w:p w14:paraId="25AC2B50" w14:textId="77777777" w:rsidR="0096103C" w:rsidRDefault="0096103C" w:rsidP="00DA62E9">
            <w:r>
              <w:t>Presentations</w:t>
            </w:r>
          </w:p>
          <w:p w14:paraId="59066258" w14:textId="77777777" w:rsidR="0096103C" w:rsidRDefault="0096103C" w:rsidP="00DA62E9"/>
        </w:tc>
        <w:tc>
          <w:tcPr>
            <w:tcW w:w="1934" w:type="dxa"/>
          </w:tcPr>
          <w:p w14:paraId="64F7B258" w14:textId="77777777" w:rsidR="0096103C" w:rsidRDefault="0096103C" w:rsidP="00DA62E9">
            <w:r>
              <w:t>Tasks/requirements that allow learners to bring personal experience into their responses/projects</w:t>
            </w:r>
          </w:p>
          <w:p w14:paraId="0D81B4C9" w14:textId="77777777" w:rsidR="0096103C" w:rsidRDefault="0096103C" w:rsidP="00DA62E9"/>
          <w:p w14:paraId="44013C31" w14:textId="77777777" w:rsidR="0096103C" w:rsidRDefault="0096103C" w:rsidP="00DA62E9">
            <w:r>
              <w:t>Peer review/critique of drafts</w:t>
            </w:r>
          </w:p>
          <w:p w14:paraId="7E6EEDFA" w14:textId="77777777" w:rsidR="0096103C" w:rsidRDefault="0096103C" w:rsidP="00DA62E9"/>
          <w:p w14:paraId="00AC8949" w14:textId="77777777" w:rsidR="0096103C" w:rsidRDefault="0096103C" w:rsidP="00DA62E9"/>
          <w:p w14:paraId="761B5390" w14:textId="77777777" w:rsidR="0096103C" w:rsidRDefault="0096103C" w:rsidP="00DA62E9"/>
          <w:p w14:paraId="1161B54D" w14:textId="77777777" w:rsidR="0096103C" w:rsidRDefault="0096103C" w:rsidP="00DA62E9"/>
          <w:p w14:paraId="6C74FEE5" w14:textId="77777777" w:rsidR="0096103C" w:rsidRDefault="0096103C" w:rsidP="00DA62E9"/>
        </w:tc>
        <w:tc>
          <w:tcPr>
            <w:tcW w:w="1790" w:type="dxa"/>
          </w:tcPr>
          <w:p w14:paraId="5F6392AC" w14:textId="77777777" w:rsidR="0096103C" w:rsidRDefault="0096103C" w:rsidP="00DA62E9">
            <w:r>
              <w:t>Peer review</w:t>
            </w:r>
          </w:p>
          <w:p w14:paraId="09FEB784" w14:textId="77777777" w:rsidR="0096103C" w:rsidRDefault="0096103C" w:rsidP="00DA62E9"/>
          <w:p w14:paraId="0BD2ED11" w14:textId="77777777" w:rsidR="0096103C" w:rsidRDefault="0096103C" w:rsidP="00DA62E9">
            <w:r>
              <w:t xml:space="preserve">Choice in project focus, topic, and/or delivery </w:t>
            </w:r>
          </w:p>
          <w:p w14:paraId="35DD5BCD" w14:textId="77777777" w:rsidR="0096103C" w:rsidRDefault="0096103C" w:rsidP="00DA62E9"/>
          <w:p w14:paraId="08178AE9" w14:textId="77777777" w:rsidR="0096103C" w:rsidRDefault="0096103C" w:rsidP="00DA62E9">
            <w:r>
              <w:t>Essays occur over at least a week, including a weekend; or are done incrementally over time</w:t>
            </w:r>
          </w:p>
          <w:p w14:paraId="0A38D268" w14:textId="77777777" w:rsidR="0096103C" w:rsidRDefault="0096103C" w:rsidP="00DA62E9"/>
          <w:p w14:paraId="40EC9761" w14:textId="77777777" w:rsidR="0096103C" w:rsidRDefault="0096103C" w:rsidP="00DA62E9">
            <w:r>
              <w:t>Not penalizing wrong answers on early drafts of group project</w:t>
            </w:r>
          </w:p>
          <w:p w14:paraId="4F783589" w14:textId="77777777" w:rsidR="0096103C" w:rsidRDefault="0096103C" w:rsidP="00DA62E9"/>
          <w:p w14:paraId="51AAA5AE" w14:textId="77777777" w:rsidR="0096103C" w:rsidRDefault="0096103C" w:rsidP="00DA62E9">
            <w:r>
              <w:t>Grading rubrics</w:t>
            </w:r>
          </w:p>
          <w:p w14:paraId="1AA2E70B" w14:textId="77777777" w:rsidR="0096103C" w:rsidRDefault="0096103C" w:rsidP="00DA62E9"/>
          <w:p w14:paraId="76865ADF" w14:textId="77777777" w:rsidR="0096103C" w:rsidRDefault="0096103C" w:rsidP="00DA62E9">
            <w:r>
              <w:t>Portfolios</w:t>
            </w:r>
          </w:p>
          <w:p w14:paraId="1B5920F7" w14:textId="77777777" w:rsidR="0096103C" w:rsidRDefault="0096103C" w:rsidP="00DA62E9"/>
        </w:tc>
        <w:tc>
          <w:tcPr>
            <w:tcW w:w="1942" w:type="dxa"/>
          </w:tcPr>
          <w:p w14:paraId="45525243" w14:textId="77777777" w:rsidR="0096103C" w:rsidRDefault="0096103C" w:rsidP="00DA62E9">
            <w:r>
              <w:t>Case Studies</w:t>
            </w:r>
          </w:p>
          <w:p w14:paraId="022AA677" w14:textId="77777777" w:rsidR="0096103C" w:rsidRDefault="0096103C" w:rsidP="00DA62E9"/>
          <w:p w14:paraId="3940D9B4" w14:textId="77777777" w:rsidR="0096103C" w:rsidRDefault="0096103C" w:rsidP="00DA62E9">
            <w:r>
              <w:t xml:space="preserve">Practice/application exercises </w:t>
            </w:r>
          </w:p>
          <w:p w14:paraId="07ECAA42" w14:textId="77777777" w:rsidR="0096103C" w:rsidRDefault="0096103C" w:rsidP="00DA62E9"/>
          <w:p w14:paraId="1D4C649E" w14:textId="77777777" w:rsidR="0096103C" w:rsidRDefault="0096103C" w:rsidP="00DA62E9">
            <w:r>
              <w:t>Action planning</w:t>
            </w:r>
          </w:p>
          <w:p w14:paraId="16BCD58C" w14:textId="77777777" w:rsidR="0096103C" w:rsidRDefault="0096103C" w:rsidP="00DA62E9"/>
          <w:p w14:paraId="65590EA9" w14:textId="77777777" w:rsidR="0096103C" w:rsidRDefault="0096103C" w:rsidP="00DA62E9">
            <w:r>
              <w:t>Instructor feedback</w:t>
            </w:r>
          </w:p>
          <w:p w14:paraId="24944914" w14:textId="77777777" w:rsidR="0096103C" w:rsidRDefault="0096103C" w:rsidP="00DA62E9"/>
          <w:p w14:paraId="67C45C61" w14:textId="77777777" w:rsidR="0096103C" w:rsidRDefault="0096103C" w:rsidP="00DA62E9">
            <w:r>
              <w:t>Know, Want to Learn, What I did learn (KWL) chart</w:t>
            </w:r>
          </w:p>
          <w:p w14:paraId="7318E674" w14:textId="77777777" w:rsidR="0096103C" w:rsidRDefault="0096103C" w:rsidP="00DA62E9"/>
          <w:p w14:paraId="1D4DDB97" w14:textId="77777777" w:rsidR="0096103C" w:rsidRDefault="0096103C" w:rsidP="00DA62E9">
            <w:r>
              <w:t>Inquiry-based learning</w:t>
            </w:r>
          </w:p>
        </w:tc>
      </w:tr>
      <w:tr w:rsidR="0096103C" w14:paraId="5626B12E" w14:textId="77777777" w:rsidTr="003767D3">
        <w:tc>
          <w:tcPr>
            <w:tcW w:w="1435" w:type="dxa"/>
          </w:tcPr>
          <w:p w14:paraId="19F465FF" w14:textId="77777777" w:rsidR="0096103C" w:rsidRPr="005C47D3" w:rsidRDefault="0096103C" w:rsidP="00DA62E9">
            <w:pPr>
              <w:rPr>
                <w:b/>
                <w:bCs/>
              </w:rPr>
            </w:pPr>
            <w:r w:rsidRPr="005C47D3">
              <w:rPr>
                <w:b/>
                <w:bCs/>
              </w:rPr>
              <w:t>Quizzes</w:t>
            </w:r>
          </w:p>
        </w:tc>
        <w:tc>
          <w:tcPr>
            <w:tcW w:w="1710" w:type="dxa"/>
          </w:tcPr>
          <w:p w14:paraId="4FF9B8EF" w14:textId="77777777" w:rsidR="0096103C" w:rsidRDefault="0096103C" w:rsidP="00DA62E9">
            <w:r>
              <w:t>Pre- &amp; post- to demonstrate increased knowledge.</w:t>
            </w:r>
          </w:p>
          <w:p w14:paraId="3A3885BC" w14:textId="77777777" w:rsidR="0096103C" w:rsidRDefault="0096103C" w:rsidP="00DA62E9"/>
          <w:p w14:paraId="256F6021" w14:textId="77777777" w:rsidR="0096103C" w:rsidRDefault="0096103C" w:rsidP="00DA62E9">
            <w:r>
              <w:t xml:space="preserve">Explanation of how completing </w:t>
            </w:r>
            <w:r>
              <w:lastRenderedPageBreak/>
              <w:t>of quiz will help learner.</w:t>
            </w:r>
          </w:p>
        </w:tc>
        <w:tc>
          <w:tcPr>
            <w:tcW w:w="1979" w:type="dxa"/>
          </w:tcPr>
          <w:p w14:paraId="3CC79BDE" w14:textId="77777777" w:rsidR="0096103C" w:rsidRDefault="0096103C" w:rsidP="00DA62E9"/>
        </w:tc>
        <w:tc>
          <w:tcPr>
            <w:tcW w:w="1934" w:type="dxa"/>
          </w:tcPr>
          <w:p w14:paraId="50B3713C" w14:textId="77777777" w:rsidR="0096103C" w:rsidRDefault="0096103C" w:rsidP="00DA62E9"/>
        </w:tc>
        <w:tc>
          <w:tcPr>
            <w:tcW w:w="1790" w:type="dxa"/>
          </w:tcPr>
          <w:p w14:paraId="0F0BDF9E" w14:textId="77777777" w:rsidR="0096103C" w:rsidRDefault="0096103C" w:rsidP="00DA62E9">
            <w:r>
              <w:t>Open book, timed quizzes</w:t>
            </w:r>
          </w:p>
        </w:tc>
        <w:tc>
          <w:tcPr>
            <w:tcW w:w="1942" w:type="dxa"/>
          </w:tcPr>
          <w:p w14:paraId="558E7B8D" w14:textId="77777777" w:rsidR="0096103C" w:rsidRDefault="0096103C" w:rsidP="00DA62E9">
            <w:r>
              <w:t>Low stakes practice quizzes</w:t>
            </w:r>
          </w:p>
        </w:tc>
      </w:tr>
      <w:tr w:rsidR="0096103C" w14:paraId="4C683C6A" w14:textId="77777777" w:rsidTr="003767D3">
        <w:tc>
          <w:tcPr>
            <w:tcW w:w="1435" w:type="dxa"/>
          </w:tcPr>
          <w:p w14:paraId="25680D33" w14:textId="77777777" w:rsidR="0096103C" w:rsidRPr="005C47D3" w:rsidRDefault="0096103C" w:rsidP="00DA62E9">
            <w:pPr>
              <w:rPr>
                <w:b/>
                <w:bCs/>
              </w:rPr>
            </w:pPr>
            <w:r w:rsidRPr="005C47D3">
              <w:rPr>
                <w:b/>
                <w:bCs/>
              </w:rPr>
              <w:t>Exams</w:t>
            </w:r>
          </w:p>
        </w:tc>
        <w:tc>
          <w:tcPr>
            <w:tcW w:w="1710" w:type="dxa"/>
          </w:tcPr>
          <w:p w14:paraId="23CF2F0D" w14:textId="77777777" w:rsidR="0096103C" w:rsidRDefault="0096103C" w:rsidP="00DA62E9">
            <w:r>
              <w:t>Explanation of how completing exam will help learner.</w:t>
            </w:r>
          </w:p>
        </w:tc>
        <w:tc>
          <w:tcPr>
            <w:tcW w:w="1979" w:type="dxa"/>
          </w:tcPr>
          <w:p w14:paraId="5E4CD12D" w14:textId="77777777" w:rsidR="0096103C" w:rsidRDefault="0096103C" w:rsidP="00DA62E9">
            <w:r>
              <w:t>Exam questions that use scenarios and cases.</w:t>
            </w:r>
          </w:p>
        </w:tc>
        <w:tc>
          <w:tcPr>
            <w:tcW w:w="1934" w:type="dxa"/>
          </w:tcPr>
          <w:p w14:paraId="440181D1" w14:textId="77777777" w:rsidR="0096103C" w:rsidRDefault="0096103C" w:rsidP="00DA62E9"/>
        </w:tc>
        <w:tc>
          <w:tcPr>
            <w:tcW w:w="1790" w:type="dxa"/>
          </w:tcPr>
          <w:p w14:paraId="08DDF9EF" w14:textId="77777777" w:rsidR="0096103C" w:rsidRDefault="0096103C" w:rsidP="00DA62E9"/>
        </w:tc>
        <w:tc>
          <w:tcPr>
            <w:tcW w:w="1942" w:type="dxa"/>
          </w:tcPr>
          <w:p w14:paraId="46C9F27B" w14:textId="77777777" w:rsidR="0096103C" w:rsidRDefault="0096103C" w:rsidP="00DA62E9"/>
        </w:tc>
      </w:tr>
      <w:tr w:rsidR="0096103C" w14:paraId="332E95FD" w14:textId="77777777" w:rsidTr="003767D3">
        <w:tc>
          <w:tcPr>
            <w:tcW w:w="1435" w:type="dxa"/>
          </w:tcPr>
          <w:p w14:paraId="55E27F48" w14:textId="77777777" w:rsidR="0096103C" w:rsidRPr="005C47D3" w:rsidRDefault="0096103C" w:rsidP="00DA62E9">
            <w:pPr>
              <w:rPr>
                <w:b/>
                <w:bCs/>
              </w:rPr>
            </w:pPr>
          </w:p>
        </w:tc>
        <w:tc>
          <w:tcPr>
            <w:tcW w:w="1710" w:type="dxa"/>
          </w:tcPr>
          <w:p w14:paraId="6D39BFA6" w14:textId="77777777" w:rsidR="0096103C" w:rsidRDefault="0096103C" w:rsidP="00DA62E9"/>
        </w:tc>
        <w:tc>
          <w:tcPr>
            <w:tcW w:w="1979" w:type="dxa"/>
          </w:tcPr>
          <w:p w14:paraId="5B7A42FB" w14:textId="77777777" w:rsidR="0096103C" w:rsidRDefault="0096103C" w:rsidP="00DA62E9"/>
        </w:tc>
        <w:tc>
          <w:tcPr>
            <w:tcW w:w="1934" w:type="dxa"/>
          </w:tcPr>
          <w:p w14:paraId="7C6884CD" w14:textId="77777777" w:rsidR="0096103C" w:rsidRDefault="0096103C" w:rsidP="00DA62E9"/>
        </w:tc>
        <w:tc>
          <w:tcPr>
            <w:tcW w:w="1790" w:type="dxa"/>
          </w:tcPr>
          <w:p w14:paraId="50BBA2B5" w14:textId="77777777" w:rsidR="0096103C" w:rsidRDefault="0096103C" w:rsidP="00DA62E9"/>
        </w:tc>
        <w:tc>
          <w:tcPr>
            <w:tcW w:w="1942" w:type="dxa"/>
          </w:tcPr>
          <w:p w14:paraId="495DEBDF" w14:textId="77777777" w:rsidR="0096103C" w:rsidRDefault="0096103C" w:rsidP="00DA62E9"/>
        </w:tc>
      </w:tr>
      <w:tr w:rsidR="0096103C" w14:paraId="42F9FBF3" w14:textId="77777777" w:rsidTr="003767D3">
        <w:tc>
          <w:tcPr>
            <w:tcW w:w="1435" w:type="dxa"/>
          </w:tcPr>
          <w:p w14:paraId="1D3CEBCB" w14:textId="77777777" w:rsidR="0096103C" w:rsidRPr="005C47D3" w:rsidRDefault="0096103C" w:rsidP="00DA62E9">
            <w:pPr>
              <w:rPr>
                <w:b/>
                <w:bCs/>
              </w:rPr>
            </w:pPr>
            <w:r w:rsidRPr="005C47D3">
              <w:rPr>
                <w:b/>
                <w:bCs/>
              </w:rPr>
              <w:t xml:space="preserve">Learner </w:t>
            </w:r>
            <w:r w:rsidRPr="005C47D3">
              <w:rPr>
                <w:b/>
                <w:bCs/>
                <w:sz w:val="12"/>
              </w:rPr>
              <w:sym w:font="Wingdings" w:char="F0DF"/>
            </w:r>
            <w:r w:rsidRPr="005C47D3">
              <w:rPr>
                <w:b/>
                <w:bCs/>
                <w:sz w:val="12"/>
              </w:rPr>
              <w:sym w:font="Wingdings" w:char="F0E0"/>
            </w:r>
            <w:r w:rsidRPr="005C47D3">
              <w:rPr>
                <w:b/>
                <w:bCs/>
              </w:rPr>
              <w:t xml:space="preserve"> Instructor Interaction</w:t>
            </w:r>
          </w:p>
          <w:p w14:paraId="452E9F44" w14:textId="77777777" w:rsidR="0096103C" w:rsidRPr="005C47D3" w:rsidRDefault="0096103C" w:rsidP="00DA62E9">
            <w:pPr>
              <w:rPr>
                <w:b/>
                <w:bCs/>
              </w:rPr>
            </w:pPr>
          </w:p>
        </w:tc>
        <w:tc>
          <w:tcPr>
            <w:tcW w:w="1710" w:type="dxa"/>
          </w:tcPr>
          <w:p w14:paraId="28A0C959" w14:textId="77777777" w:rsidR="0096103C" w:rsidRDefault="0096103C" w:rsidP="00DA62E9">
            <w:r w:rsidRPr="009A64EC">
              <w:t>Timely announcements and regular updates about current and upcoming content</w:t>
            </w:r>
          </w:p>
          <w:p w14:paraId="3B592669" w14:textId="77777777" w:rsidR="0096103C" w:rsidRDefault="0096103C" w:rsidP="00DA62E9"/>
        </w:tc>
        <w:tc>
          <w:tcPr>
            <w:tcW w:w="1979" w:type="dxa"/>
          </w:tcPr>
          <w:p w14:paraId="66236422" w14:textId="77777777" w:rsidR="0096103C" w:rsidRDefault="0096103C" w:rsidP="00DA62E9">
            <w:r>
              <w:t xml:space="preserve">Timely, meaningful feedback on assessments </w:t>
            </w:r>
          </w:p>
          <w:p w14:paraId="76C54BF5" w14:textId="77777777" w:rsidR="0096103C" w:rsidRDefault="0096103C" w:rsidP="00DA62E9"/>
          <w:p w14:paraId="09FFED85" w14:textId="77777777" w:rsidR="0096103C" w:rsidRDefault="0096103C" w:rsidP="00DA62E9">
            <w:r>
              <w:t>Mid-term and end of course survey</w:t>
            </w:r>
          </w:p>
          <w:p w14:paraId="3A47B001" w14:textId="77777777" w:rsidR="0096103C" w:rsidRDefault="0096103C" w:rsidP="00DA62E9"/>
        </w:tc>
        <w:tc>
          <w:tcPr>
            <w:tcW w:w="1934" w:type="dxa"/>
          </w:tcPr>
          <w:p w14:paraId="6B37E20A" w14:textId="77777777" w:rsidR="0096103C" w:rsidRDefault="0096103C" w:rsidP="00DA62E9"/>
        </w:tc>
        <w:tc>
          <w:tcPr>
            <w:tcW w:w="1790" w:type="dxa"/>
          </w:tcPr>
          <w:p w14:paraId="59E78501" w14:textId="77777777" w:rsidR="0096103C" w:rsidRDefault="0096103C" w:rsidP="00DA62E9">
            <w:r>
              <w:t>Accessible online office hours</w:t>
            </w:r>
          </w:p>
          <w:p w14:paraId="21E65C72" w14:textId="77777777" w:rsidR="0096103C" w:rsidRDefault="0096103C" w:rsidP="00DA62E9"/>
          <w:p w14:paraId="1D75362B" w14:textId="77777777" w:rsidR="0096103C" w:rsidRDefault="0096103C" w:rsidP="00DA62E9">
            <w:r>
              <w:t>Optional synchronous sessions</w:t>
            </w:r>
          </w:p>
          <w:p w14:paraId="34ABBE4D" w14:textId="77777777" w:rsidR="0096103C" w:rsidRPr="009A64EC" w:rsidRDefault="0096103C" w:rsidP="00DA62E9"/>
          <w:p w14:paraId="3BB07008" w14:textId="77777777" w:rsidR="0096103C" w:rsidRDefault="0096103C" w:rsidP="00DA62E9">
            <w:r>
              <w:t xml:space="preserve">Optional one-on-one consultations </w:t>
            </w:r>
          </w:p>
          <w:p w14:paraId="7AC6B77F" w14:textId="77777777" w:rsidR="0096103C" w:rsidRDefault="0096103C" w:rsidP="00DA62E9"/>
          <w:p w14:paraId="347A861D" w14:textId="77777777" w:rsidR="0096103C" w:rsidRDefault="0096103C" w:rsidP="00DA62E9"/>
        </w:tc>
        <w:tc>
          <w:tcPr>
            <w:tcW w:w="1942" w:type="dxa"/>
          </w:tcPr>
          <w:p w14:paraId="5B77CD7E" w14:textId="77777777" w:rsidR="0096103C" w:rsidRDefault="0096103C" w:rsidP="00DA62E9">
            <w:r>
              <w:t xml:space="preserve">Instructor present in discussion boards </w:t>
            </w:r>
          </w:p>
          <w:p w14:paraId="1E133524" w14:textId="77777777" w:rsidR="0096103C" w:rsidRDefault="0096103C" w:rsidP="00DA62E9"/>
          <w:p w14:paraId="61EA5BCD" w14:textId="77777777" w:rsidR="0096103C" w:rsidRDefault="0096103C" w:rsidP="00DA62E9">
            <w:r>
              <w:t>Discussion board summary posts by instructor</w:t>
            </w:r>
          </w:p>
          <w:p w14:paraId="76D0AA60" w14:textId="77777777" w:rsidR="0096103C" w:rsidRDefault="0096103C" w:rsidP="00DA62E9"/>
          <w:p w14:paraId="3E251C16" w14:textId="77777777" w:rsidR="0096103C" w:rsidRDefault="0096103C" w:rsidP="00DA62E9">
            <w:r>
              <w:t>Prompt email responses</w:t>
            </w:r>
          </w:p>
          <w:p w14:paraId="30B35188" w14:textId="77777777" w:rsidR="0096103C" w:rsidRDefault="0096103C" w:rsidP="00DA62E9"/>
          <w:p w14:paraId="6A4BAA91" w14:textId="77777777" w:rsidR="0096103C" w:rsidRDefault="0096103C" w:rsidP="00DA62E9">
            <w:r>
              <w:t>Prompt grading of assignments</w:t>
            </w:r>
          </w:p>
          <w:p w14:paraId="73DB668C" w14:textId="77777777" w:rsidR="0096103C" w:rsidRDefault="0096103C" w:rsidP="00DA62E9"/>
        </w:tc>
      </w:tr>
      <w:tr w:rsidR="0096103C" w14:paraId="4FCD273D" w14:textId="77777777" w:rsidTr="003767D3">
        <w:tc>
          <w:tcPr>
            <w:tcW w:w="1435" w:type="dxa"/>
          </w:tcPr>
          <w:p w14:paraId="0B43731F" w14:textId="77777777" w:rsidR="0096103C" w:rsidRPr="005C47D3" w:rsidRDefault="0096103C" w:rsidP="00DA62E9">
            <w:pPr>
              <w:rPr>
                <w:b/>
                <w:bCs/>
              </w:rPr>
            </w:pPr>
            <w:r w:rsidRPr="005C47D3">
              <w:rPr>
                <w:b/>
                <w:bCs/>
              </w:rPr>
              <w:t xml:space="preserve">Learner </w:t>
            </w:r>
            <w:r w:rsidRPr="005C47D3">
              <w:rPr>
                <w:b/>
                <w:bCs/>
                <w:sz w:val="12"/>
              </w:rPr>
              <w:sym w:font="Wingdings" w:char="F0DF"/>
            </w:r>
            <w:r w:rsidRPr="005C47D3">
              <w:rPr>
                <w:b/>
                <w:bCs/>
                <w:sz w:val="12"/>
              </w:rPr>
              <w:sym w:font="Wingdings" w:char="F0E0"/>
            </w:r>
            <w:r w:rsidRPr="005C47D3">
              <w:rPr>
                <w:b/>
                <w:bCs/>
              </w:rPr>
              <w:t xml:space="preserve"> Learner Interaction</w:t>
            </w:r>
          </w:p>
          <w:p w14:paraId="35A41792" w14:textId="77777777" w:rsidR="0096103C" w:rsidRPr="005C47D3" w:rsidRDefault="0096103C" w:rsidP="00DA62E9">
            <w:pPr>
              <w:rPr>
                <w:b/>
                <w:bCs/>
              </w:rPr>
            </w:pPr>
          </w:p>
        </w:tc>
        <w:tc>
          <w:tcPr>
            <w:tcW w:w="1710" w:type="dxa"/>
          </w:tcPr>
          <w:p w14:paraId="7329156D" w14:textId="77777777" w:rsidR="0096103C" w:rsidRDefault="0096103C" w:rsidP="00DA62E9">
            <w:r>
              <w:t>Clear explanation as to why learner to learner interaction is important.</w:t>
            </w:r>
          </w:p>
        </w:tc>
        <w:tc>
          <w:tcPr>
            <w:tcW w:w="1979" w:type="dxa"/>
          </w:tcPr>
          <w:p w14:paraId="0A27EB31" w14:textId="77777777" w:rsidR="0096103C" w:rsidRDefault="0096103C" w:rsidP="00DA62E9">
            <w:r>
              <w:t>Group projects that mimic real world group activities</w:t>
            </w:r>
          </w:p>
          <w:p w14:paraId="38765C31" w14:textId="77777777" w:rsidR="0096103C" w:rsidRDefault="0096103C" w:rsidP="00DA62E9"/>
          <w:p w14:paraId="2FBB8FC8" w14:textId="77777777" w:rsidR="0096103C" w:rsidRDefault="0096103C" w:rsidP="00DA62E9">
            <w:r>
              <w:t xml:space="preserve">Peer review of projects, papers, presentations in which additional perspective from course content is added </w:t>
            </w:r>
          </w:p>
          <w:p w14:paraId="4987A62D" w14:textId="77777777" w:rsidR="0096103C" w:rsidRDefault="0096103C" w:rsidP="00DA62E9"/>
          <w:p w14:paraId="73FEE0DD" w14:textId="77777777" w:rsidR="0096103C" w:rsidRDefault="0096103C" w:rsidP="00DA62E9"/>
        </w:tc>
        <w:tc>
          <w:tcPr>
            <w:tcW w:w="1934" w:type="dxa"/>
          </w:tcPr>
          <w:p w14:paraId="14057A4B" w14:textId="77777777" w:rsidR="0096103C" w:rsidRDefault="0096103C" w:rsidP="00DA62E9">
            <w:r>
              <w:t>Required response(s) to peers in discussion boards incorporating life/work experience</w:t>
            </w:r>
          </w:p>
          <w:p w14:paraId="31315A67" w14:textId="77777777" w:rsidR="0096103C" w:rsidRDefault="0096103C" w:rsidP="00DA62E9"/>
          <w:p w14:paraId="4D65DC03" w14:textId="77777777" w:rsidR="0096103C" w:rsidRDefault="0096103C" w:rsidP="00DA62E9">
            <w:r>
              <w:t>Group projects and case studies where learners bring life/work experience in application of course concepts</w:t>
            </w:r>
          </w:p>
          <w:p w14:paraId="57B63A93" w14:textId="77777777" w:rsidR="0096103C" w:rsidRDefault="0096103C" w:rsidP="00DA62E9"/>
          <w:p w14:paraId="04F2114B" w14:textId="77777777" w:rsidR="0096103C" w:rsidRDefault="0096103C" w:rsidP="00DA62E9"/>
          <w:p w14:paraId="558E0F56" w14:textId="77777777" w:rsidR="0096103C" w:rsidRDefault="0096103C" w:rsidP="00DA62E9"/>
          <w:p w14:paraId="45EF2CB6" w14:textId="77777777" w:rsidR="0096103C" w:rsidRDefault="0096103C" w:rsidP="00DA62E9"/>
        </w:tc>
        <w:tc>
          <w:tcPr>
            <w:tcW w:w="1790" w:type="dxa"/>
          </w:tcPr>
          <w:p w14:paraId="03930D20" w14:textId="77777777" w:rsidR="0096103C" w:rsidRDefault="0096103C" w:rsidP="00DA62E9"/>
        </w:tc>
        <w:tc>
          <w:tcPr>
            <w:tcW w:w="1942" w:type="dxa"/>
          </w:tcPr>
          <w:p w14:paraId="3B6B3148" w14:textId="77777777" w:rsidR="0096103C" w:rsidRDefault="0096103C" w:rsidP="00DA62E9">
            <w:r>
              <w:t>Group projects and case studies where learners bring life/work experience in application of course concepts</w:t>
            </w:r>
          </w:p>
          <w:p w14:paraId="1A4E7AE3" w14:textId="77777777" w:rsidR="0096103C" w:rsidRDefault="0096103C" w:rsidP="00DA62E9"/>
        </w:tc>
      </w:tr>
      <w:tr w:rsidR="0096103C" w14:paraId="4A74A2FD" w14:textId="77777777" w:rsidTr="003767D3">
        <w:tc>
          <w:tcPr>
            <w:tcW w:w="1435" w:type="dxa"/>
          </w:tcPr>
          <w:p w14:paraId="0C6721A9" w14:textId="77777777" w:rsidR="0096103C" w:rsidRPr="005C47D3" w:rsidRDefault="0096103C" w:rsidP="00DA62E9">
            <w:pPr>
              <w:rPr>
                <w:b/>
                <w:bCs/>
              </w:rPr>
            </w:pPr>
            <w:r w:rsidRPr="005C47D3">
              <w:rPr>
                <w:b/>
                <w:bCs/>
              </w:rPr>
              <w:t xml:space="preserve">Learner </w:t>
            </w:r>
            <w:r w:rsidRPr="005C47D3">
              <w:rPr>
                <w:b/>
                <w:bCs/>
                <w:sz w:val="12"/>
              </w:rPr>
              <w:sym w:font="Wingdings" w:char="F0DF"/>
            </w:r>
            <w:r w:rsidRPr="005C47D3">
              <w:rPr>
                <w:b/>
                <w:bCs/>
                <w:sz w:val="12"/>
              </w:rPr>
              <w:sym w:font="Wingdings" w:char="F0E0"/>
            </w:r>
            <w:r w:rsidRPr="005C47D3">
              <w:rPr>
                <w:b/>
                <w:bCs/>
              </w:rPr>
              <w:t xml:space="preserve"> Content Interaction</w:t>
            </w:r>
          </w:p>
          <w:p w14:paraId="6B830358" w14:textId="77777777" w:rsidR="0096103C" w:rsidRPr="005C47D3" w:rsidRDefault="0096103C" w:rsidP="00DA62E9">
            <w:pPr>
              <w:rPr>
                <w:b/>
                <w:bCs/>
              </w:rPr>
            </w:pPr>
          </w:p>
        </w:tc>
        <w:tc>
          <w:tcPr>
            <w:tcW w:w="1710" w:type="dxa"/>
          </w:tcPr>
          <w:p w14:paraId="1C243497" w14:textId="77777777" w:rsidR="0096103C" w:rsidRPr="00EF7626" w:rsidRDefault="0096103C" w:rsidP="00DA62E9">
            <w:pPr>
              <w:rPr>
                <w:rFonts w:eastAsia="MS Gothic" w:cstheme="minorHAnsi"/>
              </w:rPr>
            </w:pPr>
            <w:r w:rsidRPr="00EF7626">
              <w:rPr>
                <w:rFonts w:eastAsia="MS Gothic" w:cstheme="minorHAnsi"/>
              </w:rPr>
              <w:t>Interactive lectures</w:t>
            </w:r>
            <w:r>
              <w:rPr>
                <w:rFonts w:eastAsia="MS Gothic" w:cstheme="minorHAnsi"/>
              </w:rPr>
              <w:t xml:space="preserve"> with polls, quizzes, surveys that contextualize the lecture content </w:t>
            </w:r>
          </w:p>
          <w:p w14:paraId="340254CE" w14:textId="77777777" w:rsidR="0096103C" w:rsidRDefault="0096103C" w:rsidP="00DA62E9">
            <w:pPr>
              <w:rPr>
                <w:rFonts w:eastAsia="MS Gothic" w:cstheme="minorHAnsi"/>
              </w:rPr>
            </w:pPr>
          </w:p>
          <w:p w14:paraId="587C3568" w14:textId="77777777" w:rsidR="0096103C" w:rsidRPr="00EF7626" w:rsidRDefault="0096103C" w:rsidP="00DA62E9">
            <w:pPr>
              <w:rPr>
                <w:rFonts w:eastAsia="MS Gothic" w:cstheme="minorHAnsi"/>
              </w:rPr>
            </w:pPr>
            <w:r w:rsidRPr="00EF7626">
              <w:rPr>
                <w:rFonts w:eastAsia="MS Gothic" w:cstheme="minorHAnsi"/>
              </w:rPr>
              <w:t>Active reading strategies</w:t>
            </w:r>
            <w:r>
              <w:rPr>
                <w:rFonts w:eastAsia="MS Gothic" w:cstheme="minorHAnsi"/>
              </w:rPr>
              <w:t xml:space="preserve"> such as assigning </w:t>
            </w:r>
            <w:r>
              <w:rPr>
                <w:rFonts w:eastAsia="MS Gothic" w:cstheme="minorHAnsi"/>
              </w:rPr>
              <w:lastRenderedPageBreak/>
              <w:t xml:space="preserve">students important sections of the readings for which they need to “Teach back” to the rest of the class via video </w:t>
            </w:r>
          </w:p>
          <w:p w14:paraId="3019B711" w14:textId="77777777" w:rsidR="0096103C" w:rsidRDefault="0096103C" w:rsidP="00DA62E9"/>
        </w:tc>
        <w:tc>
          <w:tcPr>
            <w:tcW w:w="1979" w:type="dxa"/>
          </w:tcPr>
          <w:p w14:paraId="6590CA4F" w14:textId="77777777" w:rsidR="0096103C" w:rsidRDefault="0096103C" w:rsidP="00DA62E9">
            <w:r>
              <w:lastRenderedPageBreak/>
              <w:t>Inquiry-based strategies that guide learners in the application of module/course content to their work/life</w:t>
            </w:r>
          </w:p>
          <w:p w14:paraId="7EAE2F4F" w14:textId="77777777" w:rsidR="0096103C" w:rsidRDefault="0096103C" w:rsidP="00DA62E9">
            <w:pPr>
              <w:rPr>
                <w:rFonts w:eastAsia="MS Gothic" w:cstheme="minorHAnsi"/>
              </w:rPr>
            </w:pPr>
          </w:p>
          <w:p w14:paraId="7B59D824" w14:textId="77777777" w:rsidR="0096103C" w:rsidRDefault="0096103C" w:rsidP="00DA62E9">
            <w:pPr>
              <w:rPr>
                <w:rFonts w:eastAsia="MS Gothic" w:cstheme="minorHAnsi"/>
              </w:rPr>
            </w:pPr>
          </w:p>
          <w:p w14:paraId="40C5D364" w14:textId="77777777" w:rsidR="0096103C" w:rsidRDefault="0096103C" w:rsidP="00DA62E9"/>
        </w:tc>
        <w:tc>
          <w:tcPr>
            <w:tcW w:w="1934" w:type="dxa"/>
          </w:tcPr>
          <w:p w14:paraId="004B75FA" w14:textId="77777777" w:rsidR="0096103C" w:rsidRPr="00EF7626" w:rsidRDefault="0096103C" w:rsidP="00DA62E9">
            <w:pPr>
              <w:rPr>
                <w:rFonts w:eastAsia="MS Gothic" w:cstheme="minorHAnsi"/>
              </w:rPr>
            </w:pPr>
            <w:r>
              <w:rPr>
                <w:rFonts w:eastAsia="MS Gothic" w:cstheme="minorHAnsi"/>
              </w:rPr>
              <w:t>Learner created content that demonstrates mastery (projects, portfolios, etc.)</w:t>
            </w:r>
          </w:p>
          <w:p w14:paraId="69F9B8B5" w14:textId="77777777" w:rsidR="0096103C" w:rsidRDefault="0096103C" w:rsidP="00DA62E9"/>
        </w:tc>
        <w:tc>
          <w:tcPr>
            <w:tcW w:w="1790" w:type="dxa"/>
          </w:tcPr>
          <w:p w14:paraId="2C2FDD23" w14:textId="77777777" w:rsidR="0096103C" w:rsidRDefault="0096103C" w:rsidP="00DA62E9">
            <w:pPr>
              <w:rPr>
                <w:rFonts w:eastAsia="MS Gothic" w:cstheme="minorHAnsi"/>
              </w:rPr>
            </w:pPr>
            <w:r w:rsidRPr="00EF7626">
              <w:rPr>
                <w:rFonts w:eastAsia="MS Gothic" w:cstheme="minorHAnsi"/>
              </w:rPr>
              <w:t>Low-stakes quizzes</w:t>
            </w:r>
            <w:r>
              <w:rPr>
                <w:rFonts w:eastAsia="MS Gothic" w:cstheme="minorHAnsi"/>
              </w:rPr>
              <w:t xml:space="preserve"> that allow learners to assess their understanding of concepts/material</w:t>
            </w:r>
          </w:p>
          <w:p w14:paraId="4343405C" w14:textId="77777777" w:rsidR="0096103C" w:rsidRDefault="0096103C" w:rsidP="00DA62E9"/>
          <w:p w14:paraId="0608EF8E" w14:textId="77777777" w:rsidR="0096103C" w:rsidRDefault="0096103C" w:rsidP="00DA62E9">
            <w:pPr>
              <w:rPr>
                <w:rFonts w:eastAsia="MS Gothic" w:cstheme="minorHAnsi"/>
              </w:rPr>
            </w:pPr>
          </w:p>
          <w:p w14:paraId="1FDABDCE" w14:textId="77777777" w:rsidR="0096103C" w:rsidRDefault="0096103C" w:rsidP="00DA62E9"/>
        </w:tc>
        <w:tc>
          <w:tcPr>
            <w:tcW w:w="1942" w:type="dxa"/>
          </w:tcPr>
          <w:p w14:paraId="25B0498D" w14:textId="77777777" w:rsidR="0096103C" w:rsidRDefault="0096103C" w:rsidP="00DA62E9">
            <w:pPr>
              <w:rPr>
                <w:rFonts w:eastAsia="MS Gothic" w:cstheme="minorHAnsi"/>
              </w:rPr>
            </w:pPr>
            <w:r>
              <w:t>Presentations on course-related topic/issue that learner</w:t>
            </w:r>
            <w:r w:rsidRPr="00EF7626">
              <w:rPr>
                <w:rFonts w:eastAsia="MS Gothic" w:cstheme="minorHAnsi"/>
              </w:rPr>
              <w:t xml:space="preserve"> </w:t>
            </w:r>
            <w:r>
              <w:rPr>
                <w:rFonts w:eastAsia="MS Gothic" w:cstheme="minorHAnsi"/>
              </w:rPr>
              <w:t>has identified and researched</w:t>
            </w:r>
          </w:p>
          <w:p w14:paraId="77026529" w14:textId="77777777" w:rsidR="0096103C" w:rsidRDefault="0096103C" w:rsidP="00DA62E9">
            <w:pPr>
              <w:rPr>
                <w:rFonts w:eastAsia="MS Gothic" w:cstheme="minorHAnsi"/>
              </w:rPr>
            </w:pPr>
          </w:p>
          <w:p w14:paraId="31EFC5EA" w14:textId="77777777" w:rsidR="0096103C" w:rsidRPr="00EF7626" w:rsidRDefault="0096103C" w:rsidP="00DA62E9">
            <w:pPr>
              <w:rPr>
                <w:rFonts w:eastAsia="MS Gothic" w:cstheme="minorHAnsi"/>
              </w:rPr>
            </w:pPr>
            <w:r w:rsidRPr="00EF7626">
              <w:rPr>
                <w:rFonts w:eastAsia="MS Gothic" w:cstheme="minorHAnsi"/>
              </w:rPr>
              <w:t>Interactive learning objects</w:t>
            </w:r>
            <w:r>
              <w:rPr>
                <w:rFonts w:eastAsia="MS Gothic" w:cstheme="minorHAnsi"/>
              </w:rPr>
              <w:t xml:space="preserve"> that engage learners in </w:t>
            </w:r>
            <w:r>
              <w:rPr>
                <w:rFonts w:eastAsia="MS Gothic" w:cstheme="minorHAnsi"/>
              </w:rPr>
              <w:lastRenderedPageBreak/>
              <w:t>authentic problem-solving</w:t>
            </w:r>
          </w:p>
          <w:p w14:paraId="56886AC3" w14:textId="77777777" w:rsidR="0096103C" w:rsidRDefault="0096103C" w:rsidP="00DA62E9"/>
        </w:tc>
      </w:tr>
    </w:tbl>
    <w:p w14:paraId="779DB02E" w14:textId="364DB88F" w:rsidR="009E12EA" w:rsidRDefault="009E12EA" w:rsidP="0096103C"/>
    <w:p w14:paraId="3CF7F9AB" w14:textId="7139B255" w:rsidR="001847A1" w:rsidRDefault="001847A1" w:rsidP="001847A1">
      <w:pPr>
        <w:rPr>
          <w:b/>
          <w:bCs/>
        </w:rPr>
      </w:pPr>
      <w:r>
        <w:rPr>
          <w:b/>
          <w:bCs/>
        </w:rPr>
        <w:t>Resources</w:t>
      </w:r>
    </w:p>
    <w:p w14:paraId="1031E30D" w14:textId="77777777" w:rsidR="001847A1" w:rsidRDefault="001847A1" w:rsidP="001847A1">
      <w:r w:rsidRPr="0043123A">
        <w:t>Fostering an Inclusive Environment when Developing Online Courses</w:t>
      </w:r>
      <w:r>
        <w:t xml:space="preserve"> – Arizona State - </w:t>
      </w:r>
      <w:hyperlink r:id="rId8" w:history="1">
        <w:r w:rsidRPr="00F5795D">
          <w:rPr>
            <w:rStyle w:val="Hyperlink"/>
          </w:rPr>
          <w:t>https://teachonline.asu.edu/2016/01/fostering-inclusive-environment-developing-online-courses/</w:t>
        </w:r>
      </w:hyperlink>
    </w:p>
    <w:p w14:paraId="64E0199A" w14:textId="77777777" w:rsidR="001847A1" w:rsidRDefault="001847A1" w:rsidP="001847A1">
      <w:r w:rsidRPr="00AD66F7">
        <w:t>Inclusive Teaching and Accessibility Online</w:t>
      </w:r>
      <w:r>
        <w:t xml:space="preserve"> – Northwestern University - </w:t>
      </w:r>
      <w:hyperlink r:id="rId9" w:history="1">
        <w:r w:rsidRPr="00F5795D">
          <w:rPr>
            <w:rStyle w:val="Hyperlink"/>
          </w:rPr>
          <w:t>https://digitallearning.northwestern.edu/keep-teaching/inclusive-teaching-and-accessibility</w:t>
        </w:r>
      </w:hyperlink>
      <w:r>
        <w:t xml:space="preserve"> </w:t>
      </w:r>
    </w:p>
    <w:p w14:paraId="04430569" w14:textId="77777777" w:rsidR="001847A1" w:rsidRDefault="001847A1" w:rsidP="001847A1">
      <w:r w:rsidRPr="00A554EA">
        <w:t>10 Strategies for Creating Inclusive &amp; Equitable Online Learning Environments</w:t>
      </w:r>
      <w:r>
        <w:t xml:space="preserve"> – Stanford University - </w:t>
      </w:r>
      <w:hyperlink r:id="rId10" w:history="1">
        <w:r w:rsidRPr="00F5795D">
          <w:rPr>
            <w:rStyle w:val="Hyperlink"/>
          </w:rPr>
          <w:t>https://sites.google.com/stanford.edu/10-strategies-for-creating-inc/home</w:t>
        </w:r>
      </w:hyperlink>
      <w:r>
        <w:t xml:space="preserve"> </w:t>
      </w:r>
    </w:p>
    <w:p w14:paraId="1A33462B" w14:textId="77777777" w:rsidR="001847A1" w:rsidRPr="0043123A" w:rsidRDefault="001847A1" w:rsidP="001847A1">
      <w:r w:rsidRPr="00E6651A">
        <w:t>Inclusive Teaching Online</w:t>
      </w:r>
      <w:r>
        <w:t xml:space="preserve"> – Washington University in St. Louis - </w:t>
      </w:r>
      <w:hyperlink r:id="rId11" w:history="1">
        <w:r w:rsidRPr="00F5795D">
          <w:rPr>
            <w:rStyle w:val="Hyperlink"/>
          </w:rPr>
          <w:t>https://teachingcenter.wustl.edu/resources/digital-pedagogy/inclusive-teaching-online/</w:t>
        </w:r>
      </w:hyperlink>
      <w:r>
        <w:t xml:space="preserve"> </w:t>
      </w:r>
    </w:p>
    <w:p w14:paraId="3C179BDD" w14:textId="77777777" w:rsidR="001847A1" w:rsidRDefault="001847A1" w:rsidP="001847A1">
      <w:r w:rsidRPr="00230708">
        <w:t>Inclusive Teaching and Learning Online</w:t>
      </w:r>
      <w:r>
        <w:t xml:space="preserve"> – Columbia University - </w:t>
      </w:r>
      <w:hyperlink r:id="rId12" w:history="1">
        <w:r w:rsidRPr="00F5795D">
          <w:rPr>
            <w:rStyle w:val="Hyperlink"/>
          </w:rPr>
          <w:t>https://ctl.columbia.edu/resources-and-technology/teaching-with-technology/teaching-online/inclusive-teaching/</w:t>
        </w:r>
      </w:hyperlink>
      <w:r>
        <w:t xml:space="preserve"> </w:t>
      </w:r>
    </w:p>
    <w:p w14:paraId="7A44A3D2" w14:textId="49B59BFC" w:rsidR="0096103C" w:rsidRDefault="001847A1" w:rsidP="0096103C">
      <w:r w:rsidRPr="004475CD">
        <w:t>Knowles' Theory of Andragogy</w:t>
      </w:r>
      <w:r>
        <w:t xml:space="preserve"> – University of Toronto - </w:t>
      </w:r>
      <w:hyperlink r:id="rId13" w:history="1">
        <w:r w:rsidRPr="00F5795D">
          <w:rPr>
            <w:rStyle w:val="Hyperlink"/>
          </w:rPr>
          <w:t>https://guides.library.utoronto.ca/c.php?g=448614&amp;p=3570562</w:t>
        </w:r>
      </w:hyperlink>
    </w:p>
    <w:p w14:paraId="5CD891A1" w14:textId="77777777" w:rsidR="00F63896" w:rsidRDefault="00F63896"/>
    <w:sectPr w:rsidR="00F63896" w:rsidSect="001A5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7"/>
    <w:rsid w:val="000859AA"/>
    <w:rsid w:val="000B14D8"/>
    <w:rsid w:val="0010170A"/>
    <w:rsid w:val="0014290B"/>
    <w:rsid w:val="00157793"/>
    <w:rsid w:val="00161E27"/>
    <w:rsid w:val="001847A1"/>
    <w:rsid w:val="001A5AC3"/>
    <w:rsid w:val="00251653"/>
    <w:rsid w:val="00275B6B"/>
    <w:rsid w:val="003767D3"/>
    <w:rsid w:val="003B5A76"/>
    <w:rsid w:val="00462745"/>
    <w:rsid w:val="00526BCF"/>
    <w:rsid w:val="00570AC2"/>
    <w:rsid w:val="007F17AC"/>
    <w:rsid w:val="00822AB3"/>
    <w:rsid w:val="008413CB"/>
    <w:rsid w:val="008B1D4F"/>
    <w:rsid w:val="00953CF6"/>
    <w:rsid w:val="0096103C"/>
    <w:rsid w:val="00983B7D"/>
    <w:rsid w:val="009A30BD"/>
    <w:rsid w:val="009A4E26"/>
    <w:rsid w:val="009E12EA"/>
    <w:rsid w:val="00A21F0D"/>
    <w:rsid w:val="00B24151"/>
    <w:rsid w:val="00CB2D3F"/>
    <w:rsid w:val="00D3381F"/>
    <w:rsid w:val="00E712EA"/>
    <w:rsid w:val="00F63896"/>
    <w:rsid w:val="00F9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9CD6"/>
  <w15:chartTrackingRefBased/>
  <w15:docId w15:val="{982E54BC-7265-4A8C-A5CE-01FA50DE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6B"/>
  </w:style>
  <w:style w:type="paragraph" w:styleId="Heading1">
    <w:name w:val="heading 1"/>
    <w:basedOn w:val="Normal"/>
    <w:next w:val="Normal"/>
    <w:link w:val="Heading1Char"/>
    <w:uiPriority w:val="9"/>
    <w:qFormat/>
    <w:rsid w:val="00275B6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75B6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75B6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75B6B"/>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75B6B"/>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75B6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75B6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5B6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75B6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6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75B6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75B6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75B6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75B6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75B6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75B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5B6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75B6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75B6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75B6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75B6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75B6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75B6B"/>
    <w:rPr>
      <w:color w:val="5A5A5A" w:themeColor="text1" w:themeTint="A5"/>
      <w:spacing w:val="15"/>
    </w:rPr>
  </w:style>
  <w:style w:type="character" w:styleId="Strong">
    <w:name w:val="Strong"/>
    <w:basedOn w:val="DefaultParagraphFont"/>
    <w:uiPriority w:val="22"/>
    <w:qFormat/>
    <w:rsid w:val="00275B6B"/>
    <w:rPr>
      <w:b/>
      <w:bCs/>
      <w:color w:val="auto"/>
    </w:rPr>
  </w:style>
  <w:style w:type="character" w:styleId="Emphasis">
    <w:name w:val="Emphasis"/>
    <w:basedOn w:val="DefaultParagraphFont"/>
    <w:uiPriority w:val="20"/>
    <w:qFormat/>
    <w:rsid w:val="00275B6B"/>
    <w:rPr>
      <w:i/>
      <w:iCs/>
      <w:color w:val="auto"/>
    </w:rPr>
  </w:style>
  <w:style w:type="paragraph" w:styleId="NoSpacing">
    <w:name w:val="No Spacing"/>
    <w:uiPriority w:val="1"/>
    <w:qFormat/>
    <w:rsid w:val="00275B6B"/>
    <w:pPr>
      <w:spacing w:after="0" w:line="240" w:lineRule="auto"/>
    </w:pPr>
  </w:style>
  <w:style w:type="paragraph" w:styleId="Quote">
    <w:name w:val="Quote"/>
    <w:basedOn w:val="Normal"/>
    <w:next w:val="Normal"/>
    <w:link w:val="QuoteChar"/>
    <w:uiPriority w:val="29"/>
    <w:qFormat/>
    <w:rsid w:val="00275B6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75B6B"/>
    <w:rPr>
      <w:i/>
      <w:iCs/>
      <w:color w:val="404040" w:themeColor="text1" w:themeTint="BF"/>
    </w:rPr>
  </w:style>
  <w:style w:type="paragraph" w:styleId="IntenseQuote">
    <w:name w:val="Intense Quote"/>
    <w:basedOn w:val="Normal"/>
    <w:next w:val="Normal"/>
    <w:link w:val="IntenseQuoteChar"/>
    <w:uiPriority w:val="30"/>
    <w:qFormat/>
    <w:rsid w:val="00275B6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75B6B"/>
    <w:rPr>
      <w:i/>
      <w:iCs/>
      <w:color w:val="404040" w:themeColor="text1" w:themeTint="BF"/>
    </w:rPr>
  </w:style>
  <w:style w:type="character" w:styleId="SubtleEmphasis">
    <w:name w:val="Subtle Emphasis"/>
    <w:basedOn w:val="DefaultParagraphFont"/>
    <w:uiPriority w:val="19"/>
    <w:qFormat/>
    <w:rsid w:val="00275B6B"/>
    <w:rPr>
      <w:i/>
      <w:iCs/>
      <w:color w:val="404040" w:themeColor="text1" w:themeTint="BF"/>
    </w:rPr>
  </w:style>
  <w:style w:type="character" w:styleId="IntenseEmphasis">
    <w:name w:val="Intense Emphasis"/>
    <w:basedOn w:val="DefaultParagraphFont"/>
    <w:uiPriority w:val="21"/>
    <w:qFormat/>
    <w:rsid w:val="00275B6B"/>
    <w:rPr>
      <w:b/>
      <w:bCs/>
      <w:i/>
      <w:iCs/>
      <w:color w:val="auto"/>
    </w:rPr>
  </w:style>
  <w:style w:type="character" w:styleId="SubtleReference">
    <w:name w:val="Subtle Reference"/>
    <w:basedOn w:val="DefaultParagraphFont"/>
    <w:uiPriority w:val="31"/>
    <w:qFormat/>
    <w:rsid w:val="00275B6B"/>
    <w:rPr>
      <w:smallCaps/>
      <w:color w:val="404040" w:themeColor="text1" w:themeTint="BF"/>
    </w:rPr>
  </w:style>
  <w:style w:type="character" w:styleId="IntenseReference">
    <w:name w:val="Intense Reference"/>
    <w:basedOn w:val="DefaultParagraphFont"/>
    <w:uiPriority w:val="32"/>
    <w:qFormat/>
    <w:rsid w:val="00275B6B"/>
    <w:rPr>
      <w:b/>
      <w:bCs/>
      <w:smallCaps/>
      <w:color w:val="404040" w:themeColor="text1" w:themeTint="BF"/>
      <w:spacing w:val="5"/>
    </w:rPr>
  </w:style>
  <w:style w:type="character" w:styleId="BookTitle">
    <w:name w:val="Book Title"/>
    <w:basedOn w:val="DefaultParagraphFont"/>
    <w:uiPriority w:val="33"/>
    <w:qFormat/>
    <w:rsid w:val="00275B6B"/>
    <w:rPr>
      <w:b/>
      <w:bCs/>
      <w:i/>
      <w:iCs/>
      <w:spacing w:val="5"/>
    </w:rPr>
  </w:style>
  <w:style w:type="paragraph" w:styleId="TOCHeading">
    <w:name w:val="TOC Heading"/>
    <w:basedOn w:val="Heading1"/>
    <w:next w:val="Normal"/>
    <w:uiPriority w:val="39"/>
    <w:semiHidden/>
    <w:unhideWhenUsed/>
    <w:qFormat/>
    <w:rsid w:val="00275B6B"/>
    <w:pPr>
      <w:outlineLvl w:val="9"/>
    </w:pPr>
  </w:style>
  <w:style w:type="table" w:styleId="TableGrid">
    <w:name w:val="Table Grid"/>
    <w:basedOn w:val="TableNormal"/>
    <w:uiPriority w:val="39"/>
    <w:rsid w:val="00F6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896"/>
    <w:rPr>
      <w:sz w:val="16"/>
      <w:szCs w:val="16"/>
    </w:rPr>
  </w:style>
  <w:style w:type="paragraph" w:styleId="CommentText">
    <w:name w:val="annotation text"/>
    <w:basedOn w:val="Normal"/>
    <w:link w:val="CommentTextChar"/>
    <w:uiPriority w:val="99"/>
    <w:semiHidden/>
    <w:unhideWhenUsed/>
    <w:rsid w:val="00F63896"/>
    <w:pPr>
      <w:spacing w:line="240" w:lineRule="auto"/>
    </w:pPr>
    <w:rPr>
      <w:sz w:val="20"/>
      <w:szCs w:val="20"/>
    </w:rPr>
  </w:style>
  <w:style w:type="character" w:customStyle="1" w:styleId="CommentTextChar">
    <w:name w:val="Comment Text Char"/>
    <w:basedOn w:val="DefaultParagraphFont"/>
    <w:link w:val="CommentText"/>
    <w:uiPriority w:val="99"/>
    <w:semiHidden/>
    <w:rsid w:val="00F63896"/>
    <w:rPr>
      <w:sz w:val="20"/>
      <w:szCs w:val="20"/>
    </w:rPr>
  </w:style>
  <w:style w:type="paragraph" w:styleId="CommentSubject">
    <w:name w:val="annotation subject"/>
    <w:basedOn w:val="CommentText"/>
    <w:next w:val="CommentText"/>
    <w:link w:val="CommentSubjectChar"/>
    <w:uiPriority w:val="99"/>
    <w:semiHidden/>
    <w:unhideWhenUsed/>
    <w:rsid w:val="00F63896"/>
    <w:rPr>
      <w:b/>
      <w:bCs/>
    </w:rPr>
  </w:style>
  <w:style w:type="character" w:customStyle="1" w:styleId="CommentSubjectChar">
    <w:name w:val="Comment Subject Char"/>
    <w:basedOn w:val="CommentTextChar"/>
    <w:link w:val="CommentSubject"/>
    <w:uiPriority w:val="99"/>
    <w:semiHidden/>
    <w:rsid w:val="00F63896"/>
    <w:rPr>
      <w:b/>
      <w:bCs/>
      <w:sz w:val="20"/>
      <w:szCs w:val="20"/>
    </w:rPr>
  </w:style>
  <w:style w:type="paragraph" w:styleId="BalloonText">
    <w:name w:val="Balloon Text"/>
    <w:basedOn w:val="Normal"/>
    <w:link w:val="BalloonTextChar"/>
    <w:uiPriority w:val="99"/>
    <w:semiHidden/>
    <w:unhideWhenUsed/>
    <w:rsid w:val="00F6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96"/>
    <w:rPr>
      <w:rFonts w:ascii="Segoe UI" w:hAnsi="Segoe UI" w:cs="Segoe UI"/>
      <w:sz w:val="18"/>
      <w:szCs w:val="18"/>
    </w:rPr>
  </w:style>
  <w:style w:type="character" w:styleId="Hyperlink">
    <w:name w:val="Hyperlink"/>
    <w:basedOn w:val="DefaultParagraphFont"/>
    <w:uiPriority w:val="99"/>
    <w:semiHidden/>
    <w:unhideWhenUsed/>
    <w:rsid w:val="00953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1312">
      <w:bodyDiv w:val="1"/>
      <w:marLeft w:val="0"/>
      <w:marRight w:val="0"/>
      <w:marTop w:val="0"/>
      <w:marBottom w:val="0"/>
      <w:divBdr>
        <w:top w:val="none" w:sz="0" w:space="0" w:color="auto"/>
        <w:left w:val="none" w:sz="0" w:space="0" w:color="auto"/>
        <w:bottom w:val="none" w:sz="0" w:space="0" w:color="auto"/>
        <w:right w:val="none" w:sz="0" w:space="0" w:color="auto"/>
      </w:divBdr>
    </w:div>
    <w:div w:id="19313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online.asu.edu/2016/01/fostering-inclusive-environment-developing-online-courses/" TargetMode="External"/><Relationship Id="rId13" Type="http://schemas.openxmlformats.org/officeDocument/2006/relationships/hyperlink" Target="https://guides.library.utoronto.ca/c.php?g=448614&amp;p=3570562" TargetMode="External"/><Relationship Id="rId3" Type="http://schemas.openxmlformats.org/officeDocument/2006/relationships/customXml" Target="../customXml/item3.xml"/><Relationship Id="rId7" Type="http://schemas.openxmlformats.org/officeDocument/2006/relationships/hyperlink" Target="https://guides.library.utoronto.ca/c.php?g=448614&amp;p=3570562" TargetMode="External"/><Relationship Id="rId12" Type="http://schemas.openxmlformats.org/officeDocument/2006/relationships/hyperlink" Target="https://ctl.columbia.edu/resources-and-technology/teaching-with-technology/teaching-online/inclusive-teach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chingcenter.wustl.edu/resources/digital-pedagogy/inclusive-teaching-on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tes.google.com/stanford.edu/10-strategies-for-creating-inc/home" TargetMode="External"/><Relationship Id="rId4" Type="http://schemas.openxmlformats.org/officeDocument/2006/relationships/styles" Target="styles.xml"/><Relationship Id="rId9" Type="http://schemas.openxmlformats.org/officeDocument/2006/relationships/hyperlink" Target="https://digitallearning.northwestern.edu/keep-teaching/inclusive-teaching-and-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4B844EA884E41B062A184B329F31D" ma:contentTypeVersion="14" ma:contentTypeDescription="Create a new document." ma:contentTypeScope="" ma:versionID="fadbad0d0abb3b25db13c74069908aaf">
  <xsd:schema xmlns:xsd="http://www.w3.org/2001/XMLSchema" xmlns:xs="http://www.w3.org/2001/XMLSchema" xmlns:p="http://schemas.microsoft.com/office/2006/metadata/properties" xmlns:ns1="http://schemas.microsoft.com/sharepoint/v3" xmlns:ns2="233c32db-e86a-47d8-a222-14660b30c16e" xmlns:ns3="2d41ac46-8e41-4d11-b675-ace3f42f9fbd" targetNamespace="http://schemas.microsoft.com/office/2006/metadata/properties" ma:root="true" ma:fieldsID="99b2f6d702e8e3db557f1c896613e423" ns1:_="" ns2:_="" ns3:_="">
    <xsd:import namespace="http://schemas.microsoft.com/sharepoint/v3"/>
    <xsd:import namespace="233c32db-e86a-47d8-a222-14660b30c16e"/>
    <xsd:import namespace="2d41ac46-8e41-4d11-b675-ace3f42f9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c32db-e86a-47d8-a222-14660b30c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1ac46-8e41-4d11-b675-ace3f42f9fb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E752B-0806-4B6D-BE2B-4953C310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c32db-e86a-47d8-a222-14660b30c16e"/>
    <ds:schemaRef ds:uri="2d41ac46-8e41-4d11-b675-ace3f42f9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108F0-1472-4988-9DD5-2B908368D4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8F25DF-149D-4A2D-A87B-F42D41860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Stoll</dc:creator>
  <cp:keywords/>
  <dc:description/>
  <cp:lastModifiedBy>Carolyn Stoll</cp:lastModifiedBy>
  <cp:revision>25</cp:revision>
  <dcterms:created xsi:type="dcterms:W3CDTF">2020-11-04T15:57:00Z</dcterms:created>
  <dcterms:modified xsi:type="dcterms:W3CDTF">2020-11-10T15:19:00Z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0x0101006BD4B844EA884E41B062A184B329F31D</vt:lpwstr>
  </property>
</Properties>
</file>