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AC6C5" w14:textId="77777777" w:rsidR="000E0FCE" w:rsidRDefault="000E0FCE" w:rsidP="000E0FCE">
      <w:pPr>
        <w:rPr>
          <w:rFonts w:cstheme="minorHAnsi"/>
        </w:rPr>
      </w:pPr>
      <w:r w:rsidRPr="000B2DBC">
        <w:rPr>
          <w:rFonts w:cstheme="minorHAnsi"/>
        </w:rPr>
        <w:t>FAQs</w:t>
      </w:r>
    </w:p>
    <w:p w14:paraId="11F830C9" w14:textId="77777777" w:rsidR="000E0FCE" w:rsidRDefault="000E0FCE" w:rsidP="000E0FCE">
      <w:pPr>
        <w:rPr>
          <w:rFonts w:cstheme="minorHAnsi"/>
        </w:rPr>
      </w:pPr>
    </w:p>
    <w:p w14:paraId="797451DA" w14:textId="77777777" w:rsidR="000E0FCE" w:rsidRDefault="000E0FCE" w:rsidP="000E0FCE">
      <w:pPr>
        <w:rPr>
          <w:rFonts w:cstheme="minorHAnsi"/>
        </w:rPr>
      </w:pPr>
      <w:r w:rsidRPr="000B2DBC">
        <w:rPr>
          <w:rFonts w:cstheme="minorHAnsi"/>
        </w:rPr>
        <w:t>What’s the difference between course design and IR? Instructional redesign focuses on the methods of instruction as opposed to course content or organization, although there may be some crossover. IR seeks to explore how you teach using strategies that research indicates increase student mastery of learning outcomes or enhance the student experience. For that reason, we recommend focusing your portfolio on one to three interventions.</w:t>
      </w:r>
    </w:p>
    <w:p w14:paraId="7E75194B" w14:textId="77777777" w:rsidR="000E0FCE" w:rsidRDefault="000E0FCE" w:rsidP="000E0FCE">
      <w:pPr>
        <w:rPr>
          <w:rFonts w:cstheme="minorHAnsi"/>
        </w:rPr>
      </w:pPr>
    </w:p>
    <w:p w14:paraId="6D58513F" w14:textId="77777777" w:rsidR="000E0FCE" w:rsidRPr="000B2DBC" w:rsidRDefault="000E0FCE" w:rsidP="000E0FCE">
      <w:pPr>
        <w:rPr>
          <w:rFonts w:cstheme="minorHAnsi"/>
        </w:rPr>
      </w:pPr>
      <w:r w:rsidRPr="000B2DBC">
        <w:rPr>
          <w:rFonts w:cstheme="minorHAnsi"/>
        </w:rPr>
        <w:t>How long does it take to complete a portfolio? That really does depend. If you have been working with an evidence-based instructional strategy and have begun data collection and analysis for classroom assessment, you may be ready to complete the portfolio now. If you still need to plan how you will assess an intervention, it may take a semester of teaching before you are prepared to document the process.</w:t>
      </w:r>
    </w:p>
    <w:p w14:paraId="7031D997" w14:textId="77777777" w:rsidR="000E0FCE" w:rsidRPr="000B2DBC" w:rsidRDefault="000E0FCE" w:rsidP="000E0FCE">
      <w:pPr>
        <w:rPr>
          <w:rFonts w:cstheme="minorHAnsi"/>
        </w:rPr>
      </w:pPr>
    </w:p>
    <w:p w14:paraId="437571DD" w14:textId="77777777" w:rsidR="000E0FCE" w:rsidRPr="000B2DBC" w:rsidRDefault="000E0FCE" w:rsidP="000E0FCE">
      <w:pPr>
        <w:rPr>
          <w:rFonts w:cstheme="minorHAnsi"/>
        </w:rPr>
      </w:pPr>
      <w:r w:rsidRPr="000B2DBC">
        <w:rPr>
          <w:rFonts w:cstheme="minorHAnsi"/>
        </w:rPr>
        <w:t>I’m not sure how to organize this portfolio or what you are looking for in a portfolio. The Drake Institute website provides an IR portfolio template with recommendations based on reviews of previous portfolios. We have found that instructors who use the template tend to submit successful portfolios.</w:t>
      </w:r>
    </w:p>
    <w:p w14:paraId="0B9DF671" w14:textId="77777777" w:rsidR="000E0FCE" w:rsidRPr="000B2DBC" w:rsidRDefault="000E0FCE" w:rsidP="000E0FCE">
      <w:pPr>
        <w:rPr>
          <w:rFonts w:cstheme="minorHAnsi"/>
        </w:rPr>
      </w:pPr>
    </w:p>
    <w:p w14:paraId="460407A5" w14:textId="77777777" w:rsidR="000E0FCE" w:rsidRPr="005A4E1C" w:rsidRDefault="000E0FCE" w:rsidP="000E0FCE">
      <w:pPr>
        <w:rPr>
          <w:rFonts w:eastAsia="Times New Roman" w:cstheme="minorHAnsi"/>
        </w:rPr>
      </w:pPr>
      <w:r w:rsidRPr="000B2DBC">
        <w:rPr>
          <w:rFonts w:cstheme="minorHAnsi"/>
        </w:rPr>
        <w:t xml:space="preserve">What if I have redesigned several courses over many years of teaching? </w:t>
      </w:r>
      <w:r w:rsidRPr="000B2DBC">
        <w:rPr>
          <w:rFonts w:eastAsia="Times New Roman" w:cstheme="minorHAnsi"/>
          <w:shd w:val="clear" w:color="auto" w:fill="FAF9F8"/>
        </w:rPr>
        <w:t xml:space="preserve">TSP is not meant in any way to represent or substitute for, and could never acknowledge, a career’s worth of time and investment or the ongoing, sustained, and highly effective work many of our faculty do.IR </w:t>
      </w:r>
      <w:r w:rsidRPr="000B2DBC">
        <w:rPr>
          <w:rFonts w:eastAsia="Times New Roman" w:cstheme="minorHAnsi"/>
        </w:rPr>
        <w:t>can, however, acknowledge that the very best of our faculty are always involved in critical examination of instruction. Tenured faculty with disciplinary pedagogical expertise might consider leading an IR cohort as a way of participating in the program and providing critical support to new and mid-career colleagues.</w:t>
      </w:r>
    </w:p>
    <w:p w14:paraId="23A6206E" w14:textId="77777777" w:rsidR="000E0FCE" w:rsidRPr="000B2DBC" w:rsidRDefault="000E0FCE" w:rsidP="000E0FCE">
      <w:pPr>
        <w:rPr>
          <w:rFonts w:cstheme="minorHAnsi"/>
        </w:rPr>
      </w:pPr>
    </w:p>
    <w:p w14:paraId="3736ED7C" w14:textId="77777777" w:rsidR="000E0FCE" w:rsidRPr="000B2DBC" w:rsidRDefault="000E0FCE" w:rsidP="000E0FCE">
      <w:pPr>
        <w:rPr>
          <w:rFonts w:cstheme="minorHAnsi"/>
        </w:rPr>
      </w:pPr>
      <w:r w:rsidRPr="000B2DBC">
        <w:rPr>
          <w:rFonts w:cstheme="minorHAnsi"/>
        </w:rPr>
        <w:t>What support does the Drake Institute provide?</w:t>
      </w:r>
    </w:p>
    <w:p w14:paraId="51417980" w14:textId="77777777" w:rsidR="000E0FCE" w:rsidRPr="000B2DBC" w:rsidRDefault="000E0FCE" w:rsidP="000E0FCE">
      <w:pPr>
        <w:rPr>
          <w:rFonts w:cstheme="minorHAnsi"/>
        </w:rPr>
      </w:pPr>
      <w:r w:rsidRPr="000B2DBC">
        <w:rPr>
          <w:rFonts w:cstheme="minorHAnsi"/>
        </w:rPr>
        <w:t>Support available to IR participants includes:</w:t>
      </w:r>
    </w:p>
    <w:p w14:paraId="57DEF9F7" w14:textId="77777777" w:rsidR="000E0FCE" w:rsidRPr="005A4E1C" w:rsidRDefault="000E0FCE" w:rsidP="000E0FCE">
      <w:pPr>
        <w:pStyle w:val="ListParagraph"/>
        <w:numPr>
          <w:ilvl w:val="0"/>
          <w:numId w:val="1"/>
        </w:numPr>
        <w:rPr>
          <w:rFonts w:cstheme="minorHAnsi"/>
        </w:rPr>
      </w:pPr>
      <w:r w:rsidRPr="005A4E1C">
        <w:rPr>
          <w:rFonts w:cstheme="minorHAnsi"/>
        </w:rPr>
        <w:t>Drake Institute Teaching Endorsement programming</w:t>
      </w:r>
    </w:p>
    <w:p w14:paraId="20286A19" w14:textId="77777777" w:rsidR="000E0FCE" w:rsidRPr="005A4E1C" w:rsidRDefault="000E0FCE" w:rsidP="000E0FCE">
      <w:pPr>
        <w:pStyle w:val="ListParagraph"/>
        <w:numPr>
          <w:ilvl w:val="0"/>
          <w:numId w:val="1"/>
        </w:numPr>
        <w:rPr>
          <w:rFonts w:cstheme="minorHAnsi"/>
        </w:rPr>
      </w:pPr>
      <w:r w:rsidRPr="005A4E1C">
        <w:rPr>
          <w:rFonts w:cstheme="minorHAnsi"/>
        </w:rPr>
        <w:t>Drake Institute IR faculty cohorts</w:t>
      </w:r>
    </w:p>
    <w:p w14:paraId="497B141A" w14:textId="77777777" w:rsidR="000E0FCE" w:rsidRPr="005A4E1C" w:rsidRDefault="000E0FCE" w:rsidP="000E0FCE">
      <w:pPr>
        <w:pStyle w:val="ListParagraph"/>
        <w:numPr>
          <w:ilvl w:val="0"/>
          <w:numId w:val="1"/>
        </w:numPr>
        <w:rPr>
          <w:rFonts w:cstheme="minorHAnsi"/>
        </w:rPr>
      </w:pPr>
      <w:r w:rsidRPr="005A4E1C">
        <w:rPr>
          <w:rFonts w:cstheme="minorHAnsi"/>
        </w:rPr>
        <w:t>Individual, group, or program-level consultations with Drake Institute staff and faculty peers who serve as mentors, contributing to the IR effort</w:t>
      </w:r>
    </w:p>
    <w:p w14:paraId="11BF0D2E" w14:textId="77777777" w:rsidR="000E0FCE" w:rsidRPr="005A4E1C" w:rsidRDefault="000E0FCE" w:rsidP="000E0FCE">
      <w:pPr>
        <w:pStyle w:val="ListParagraph"/>
        <w:numPr>
          <w:ilvl w:val="0"/>
          <w:numId w:val="1"/>
        </w:numPr>
        <w:rPr>
          <w:rFonts w:cstheme="minorHAnsi"/>
        </w:rPr>
      </w:pPr>
      <w:r w:rsidRPr="005A4E1C">
        <w:rPr>
          <w:rFonts w:cstheme="minorHAnsi"/>
        </w:rPr>
        <w:t>Referrals to Drake Institute partner programs</w:t>
      </w:r>
    </w:p>
    <w:p w14:paraId="6969481E" w14:textId="77777777" w:rsidR="000E0FCE" w:rsidRPr="005A4E1C" w:rsidRDefault="000E0FCE" w:rsidP="000E0FCE">
      <w:pPr>
        <w:pStyle w:val="ListParagraph"/>
        <w:numPr>
          <w:ilvl w:val="0"/>
          <w:numId w:val="1"/>
        </w:numPr>
        <w:rPr>
          <w:rFonts w:cstheme="minorHAnsi"/>
        </w:rPr>
      </w:pPr>
      <w:r w:rsidRPr="005A4E1C">
        <w:rPr>
          <w:rFonts w:cstheme="minorHAnsi"/>
        </w:rPr>
        <w:t>Referrals to college, unit or department staff with expertise in teaching and learning, curriculum, assessment, and evidence-based practices</w:t>
      </w:r>
    </w:p>
    <w:p w14:paraId="07009FC3" w14:textId="77777777" w:rsidR="000E0FCE" w:rsidRPr="005A4E1C" w:rsidRDefault="000E0FCE" w:rsidP="000E0FCE">
      <w:pPr>
        <w:pStyle w:val="ListParagraph"/>
        <w:numPr>
          <w:ilvl w:val="0"/>
          <w:numId w:val="1"/>
        </w:numPr>
        <w:rPr>
          <w:rFonts w:cstheme="minorHAnsi"/>
        </w:rPr>
      </w:pPr>
      <w:r w:rsidRPr="005A4E1C">
        <w:rPr>
          <w:rFonts w:cstheme="minorHAnsi"/>
        </w:rPr>
        <w:t>Referral to other professional learning opportunities that promote evidence-based practices</w:t>
      </w:r>
    </w:p>
    <w:p w14:paraId="3DFDAECB" w14:textId="77777777" w:rsidR="000E0FCE" w:rsidRPr="000B2DBC" w:rsidRDefault="000E0FCE" w:rsidP="000E0FCE">
      <w:pPr>
        <w:rPr>
          <w:rFonts w:cstheme="minorHAnsi"/>
        </w:rPr>
      </w:pPr>
    </w:p>
    <w:p w14:paraId="48276901" w14:textId="77777777" w:rsidR="000E0FCE" w:rsidRPr="000B2DBC" w:rsidRDefault="000E0FCE" w:rsidP="000E0FCE">
      <w:pPr>
        <w:rPr>
          <w:rFonts w:cstheme="minorHAnsi"/>
        </w:rPr>
      </w:pPr>
      <w:r w:rsidRPr="000B2DBC">
        <w:rPr>
          <w:rFonts w:cstheme="minorHAnsi"/>
        </w:rPr>
        <w:t>I am working with several other instructors who also teach the course. Do we all have to submit a separate portfolio? Do we divide the compensation?</w:t>
      </w:r>
    </w:p>
    <w:p w14:paraId="2AF41B3D" w14:textId="77777777" w:rsidR="000E0FCE" w:rsidRPr="000B2DBC" w:rsidRDefault="000E0FCE" w:rsidP="000E0FCE">
      <w:pPr>
        <w:rPr>
          <w:rFonts w:cstheme="minorHAnsi"/>
        </w:rPr>
      </w:pPr>
      <w:r w:rsidRPr="000B2DBC">
        <w:rPr>
          <w:rFonts w:cstheme="minorHAnsi"/>
        </w:rPr>
        <w:t xml:space="preserve">No, your team may develop and submit a single portfolio, and all members who have implemented the intervention receive full IR compensation. </w:t>
      </w:r>
    </w:p>
    <w:p w14:paraId="71C5BEC3" w14:textId="77777777" w:rsidR="000E0FCE" w:rsidRDefault="000E0FCE" w:rsidP="000E0FCE">
      <w:pPr>
        <w:rPr>
          <w:rFonts w:cstheme="minorHAnsi"/>
        </w:rPr>
      </w:pPr>
    </w:p>
    <w:p w14:paraId="4A34233E" w14:textId="77777777" w:rsidR="000E0FCE" w:rsidRPr="000B2DBC" w:rsidRDefault="000E0FCE" w:rsidP="000E0FCE">
      <w:pPr>
        <w:rPr>
          <w:rFonts w:cstheme="minorHAnsi"/>
        </w:rPr>
      </w:pPr>
      <w:r w:rsidRPr="000B2DBC">
        <w:rPr>
          <w:rFonts w:cstheme="minorHAnsi"/>
        </w:rPr>
        <w:lastRenderedPageBreak/>
        <w:t>We have staff and graduate students involved in the Instructional Redesign. Are they compensated?</w:t>
      </w:r>
    </w:p>
    <w:p w14:paraId="4D38EAA6" w14:textId="77777777" w:rsidR="000E0FCE" w:rsidRPr="000B2DBC" w:rsidRDefault="000E0FCE" w:rsidP="000E0FCE">
      <w:pPr>
        <w:rPr>
          <w:rFonts w:cstheme="minorHAnsi"/>
        </w:rPr>
      </w:pPr>
      <w:r w:rsidRPr="000B2DBC">
        <w:rPr>
          <w:rFonts w:cstheme="minorHAnsi"/>
        </w:rPr>
        <w:t>Compensation is only available to full-time lecturers and teaching/practice faculty; however, we encourage you to recognize the contributions of staff and graduate students in your portfolio and to/through your department.</w:t>
      </w:r>
    </w:p>
    <w:p w14:paraId="1B8EB614" w14:textId="77777777" w:rsidR="000E0FCE" w:rsidRDefault="000E0FCE" w:rsidP="000E0FCE">
      <w:pPr>
        <w:rPr>
          <w:rFonts w:cstheme="minorHAnsi"/>
        </w:rPr>
      </w:pPr>
    </w:p>
    <w:p w14:paraId="4CEBD397" w14:textId="77777777" w:rsidR="000E0FCE" w:rsidRPr="000B2DBC" w:rsidRDefault="000E0FCE" w:rsidP="000E0FCE">
      <w:pPr>
        <w:rPr>
          <w:rFonts w:cstheme="minorHAnsi"/>
        </w:rPr>
      </w:pPr>
      <w:r w:rsidRPr="000B2DBC">
        <w:rPr>
          <w:rFonts w:cstheme="minorHAnsi"/>
        </w:rPr>
        <w:t>Where can faculty direct questions?</w:t>
      </w:r>
    </w:p>
    <w:p w14:paraId="0E2115C9" w14:textId="77777777" w:rsidR="000E0FCE" w:rsidRPr="000B2DBC" w:rsidRDefault="000E0FCE" w:rsidP="000E0FCE">
      <w:pPr>
        <w:rPr>
          <w:rFonts w:cstheme="minorHAnsi"/>
        </w:rPr>
      </w:pPr>
      <w:r w:rsidRPr="000B2DBC">
        <w:rPr>
          <w:rFonts w:cstheme="minorHAnsi"/>
        </w:rPr>
        <w:t xml:space="preserve">The Teaching Support Program page on the Drake Institute’s website is the main source of information about the program (drakeinstitute.osu.edu/teaching-support). </w:t>
      </w:r>
    </w:p>
    <w:p w14:paraId="264D6FE7" w14:textId="77777777" w:rsidR="000E0FCE" w:rsidRPr="000B2DBC" w:rsidRDefault="000E0FCE" w:rsidP="000E0FCE">
      <w:pPr>
        <w:rPr>
          <w:rFonts w:cstheme="minorHAnsi"/>
        </w:rPr>
      </w:pPr>
      <w:r w:rsidRPr="000B2DBC">
        <w:rPr>
          <w:rFonts w:cstheme="minorHAnsi"/>
        </w:rPr>
        <w:t xml:space="preserve">Institute faculty leaders and staff also are available to answer questions, either by phone at 614-688-2722 or by email at uitl@osu.edu. </w:t>
      </w:r>
    </w:p>
    <w:p w14:paraId="03CAA705" w14:textId="77777777" w:rsidR="000E0FCE" w:rsidRPr="000B2DBC" w:rsidRDefault="000E0FCE" w:rsidP="000E0FCE">
      <w:pPr>
        <w:rPr>
          <w:rFonts w:cstheme="minorHAnsi"/>
        </w:rPr>
      </w:pPr>
    </w:p>
    <w:p w14:paraId="188472FF" w14:textId="77777777" w:rsidR="00637C45" w:rsidRDefault="000E0FCE"/>
    <w:sectPr w:rsidR="00637C45" w:rsidSect="00650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CC7AF4"/>
    <w:multiLevelType w:val="hybridMultilevel"/>
    <w:tmpl w:val="E8B28F80"/>
    <w:lvl w:ilvl="0" w:tplc="4B5438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CE"/>
    <w:rsid w:val="000E0FCE"/>
    <w:rsid w:val="00310947"/>
    <w:rsid w:val="0065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FD50FB"/>
  <w15:chartTrackingRefBased/>
  <w15:docId w15:val="{14EC287F-DBB8-6C45-9306-9FADBC55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melinda</dc:creator>
  <cp:keywords/>
  <dc:description/>
  <cp:lastModifiedBy>rhodes melinda</cp:lastModifiedBy>
  <cp:revision>1</cp:revision>
  <dcterms:created xsi:type="dcterms:W3CDTF">2020-08-19T20:25:00Z</dcterms:created>
  <dcterms:modified xsi:type="dcterms:W3CDTF">2020-08-19T20:25:00Z</dcterms:modified>
</cp:coreProperties>
</file>